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5BA6" w14:textId="3E6098E3" w:rsidR="00C012F1" w:rsidRDefault="00C012F1">
      <w:pPr>
        <w:rPr>
          <w:rFonts w:ascii="Calibri" w:eastAsia="Times New Roman" w:hAnsi="Calibri" w:cs="Calibri"/>
          <w:b/>
          <w:bCs/>
          <w:color w:val="000000"/>
          <w:kern w:val="0"/>
          <w:lang w:eastAsia="en-GB"/>
          <w14:ligatures w14:val="none"/>
        </w:rPr>
      </w:pPr>
      <w:r w:rsidRPr="00C012F1">
        <w:rPr>
          <w:rFonts w:ascii="Calibri" w:eastAsia="Times New Roman" w:hAnsi="Calibri" w:cs="Calibri"/>
          <w:b/>
          <w:bCs/>
          <w:color w:val="000000"/>
          <w:kern w:val="0"/>
          <w:lang w:eastAsia="en-GB"/>
          <w14:ligatures w14:val="none"/>
        </w:rPr>
        <w:t xml:space="preserve">Objective bank for strategic development planning on the SEND self-evaluation, Evaluate My School. </w:t>
      </w:r>
    </w:p>
    <w:p w14:paraId="218D06BC" w14:textId="77777777" w:rsidR="00C012F1" w:rsidRDefault="00C012F1">
      <w:pPr>
        <w:rPr>
          <w:rFonts w:ascii="Calibri" w:eastAsia="Times New Roman" w:hAnsi="Calibri" w:cs="Calibri"/>
          <w:b/>
          <w:bCs/>
          <w:color w:val="000000"/>
          <w:kern w:val="0"/>
          <w:lang w:eastAsia="en-GB"/>
          <w14:ligatures w14:val="none"/>
        </w:rPr>
      </w:pPr>
    </w:p>
    <w:p w14:paraId="7C925094" w14:textId="0A407EFC" w:rsidR="00C012F1" w:rsidRPr="00C012F1" w:rsidRDefault="00C012F1">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Use or adapt the objectives below when you create your own strategic development plan. Use these examples to help formulate objectives of your own that relate to areas for development on your SEND Self-evaluation. </w:t>
      </w:r>
    </w:p>
    <w:p w14:paraId="71FF94CE" w14:textId="77777777" w:rsidR="00C012F1" w:rsidRDefault="00C012F1"/>
    <w:p w14:paraId="2162EA9B" w14:textId="77777777" w:rsidR="00894521" w:rsidRDefault="00894521"/>
    <w:tbl>
      <w:tblPr>
        <w:tblW w:w="6340" w:type="dxa"/>
        <w:jc w:val="center"/>
        <w:tblLook w:val="04A0" w:firstRow="1" w:lastRow="0" w:firstColumn="1" w:lastColumn="0" w:noHBand="0" w:noVBand="1"/>
      </w:tblPr>
      <w:tblGrid>
        <w:gridCol w:w="6340"/>
      </w:tblGrid>
      <w:tr w:rsidR="00C012F1" w:rsidRPr="00C012F1" w14:paraId="4475AC21" w14:textId="77777777" w:rsidTr="00C012F1">
        <w:trPr>
          <w:trHeight w:val="288"/>
          <w:jc w:val="center"/>
        </w:trPr>
        <w:tc>
          <w:tcPr>
            <w:tcW w:w="6340" w:type="dxa"/>
            <w:tcBorders>
              <w:top w:val="single" w:sz="4" w:space="0" w:color="auto"/>
              <w:left w:val="single" w:sz="4" w:space="0" w:color="auto"/>
              <w:bottom w:val="single" w:sz="4" w:space="0" w:color="auto"/>
              <w:right w:val="single" w:sz="4" w:space="0" w:color="auto"/>
            </w:tcBorders>
            <w:vAlign w:val="bottom"/>
            <w:hideMark/>
          </w:tcPr>
          <w:p w14:paraId="37C2BA66"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Intent</w:t>
            </w:r>
          </w:p>
        </w:tc>
      </w:tr>
      <w:tr w:rsidR="00C012F1" w:rsidRPr="00C012F1" w14:paraId="06794079"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715935FE"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The language used around learners with SEND is consistently positive and aspirational.</w:t>
            </w:r>
          </w:p>
        </w:tc>
      </w:tr>
      <w:tr w:rsidR="00C012F1" w:rsidRPr="00C012F1" w14:paraId="5FD2B27B"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74AB0459"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The vision and strategic plan for learners with SEND is understood by all staff and individuals understand their role within it. </w:t>
            </w:r>
          </w:p>
        </w:tc>
      </w:tr>
      <w:tr w:rsidR="00C012F1" w:rsidRPr="00C012F1" w14:paraId="34CEB048"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3116051B"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Teachers take an active role in planning for and working with all pupils with SEND so that TA provision doesn't replace teacher input and interaction.</w:t>
            </w:r>
          </w:p>
        </w:tc>
      </w:tr>
      <w:tr w:rsidR="00C012F1" w:rsidRPr="00C012F1" w14:paraId="4F735A81"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784D7AF7"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w:t>
            </w:r>
          </w:p>
        </w:tc>
      </w:tr>
      <w:tr w:rsidR="00C012F1" w:rsidRPr="00C012F1" w14:paraId="6CECB3DB"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1763DB9C"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Implementation</w:t>
            </w:r>
          </w:p>
        </w:tc>
      </w:tr>
      <w:tr w:rsidR="00C012F1" w:rsidRPr="00C012F1" w14:paraId="16C3F168"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4FBCBDA3"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The quality of teaching and learning and the implementation of the curriculum for learners with SEND is consistent across the school.</w:t>
            </w:r>
          </w:p>
        </w:tc>
      </w:tr>
      <w:tr w:rsidR="00C012F1" w:rsidRPr="00C012F1" w14:paraId="7F4BCFE5"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7610D86D"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SEND is a standing item on staff meeting, department/phase meetings so that best practice and key updates can be shared to support a consistent and effective approach across the school.</w:t>
            </w:r>
          </w:p>
        </w:tc>
      </w:tr>
      <w:tr w:rsidR="00C012F1" w:rsidRPr="00C012F1" w14:paraId="5BF2F0B7"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1A737F9A"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SEND is considered at the centre of CPD planning and is referenced and considered during subject specific sessions or teaching and learning sessions.</w:t>
            </w:r>
          </w:p>
        </w:tc>
      </w:tr>
      <w:tr w:rsidR="00C012F1" w:rsidRPr="00C012F1" w14:paraId="104F167D"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1209780C"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Middle leaders are supported by SLT and the SENDCO to be middle leaders of SEND who monitor the implementation and impact of teaching in their subject area on pupils with SEND.</w:t>
            </w:r>
          </w:p>
        </w:tc>
      </w:tr>
      <w:tr w:rsidR="00C012F1" w:rsidRPr="00C012F1" w14:paraId="3E3DCFDE"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451E80BE"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w:t>
            </w:r>
          </w:p>
        </w:tc>
      </w:tr>
      <w:tr w:rsidR="00C012F1" w:rsidRPr="00C012F1" w14:paraId="49A2B95D"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7E5979CD"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Impact</w:t>
            </w:r>
          </w:p>
        </w:tc>
      </w:tr>
      <w:tr w:rsidR="00C012F1" w:rsidRPr="00C012F1" w14:paraId="68C60985"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02AE036C" w14:textId="56E24F9D" w:rsidR="00EC3E3C"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Progress data for pupils with SEND is regularly reviewed at individual</w:t>
            </w:r>
            <w:r w:rsidR="00F50DDF">
              <w:rPr>
                <w:rFonts w:ascii="Calibri" w:eastAsia="Times New Roman" w:hAnsi="Calibri" w:cs="Calibri"/>
                <w:color w:val="000000"/>
                <w:kern w:val="0"/>
                <w:sz w:val="22"/>
                <w:szCs w:val="22"/>
                <w:lang w:eastAsia="en-GB"/>
                <w14:ligatures w14:val="none"/>
              </w:rPr>
              <w:t xml:space="preserve"> and</w:t>
            </w:r>
            <w:r w:rsidRPr="00C012F1">
              <w:rPr>
                <w:rFonts w:ascii="Calibri" w:eastAsia="Times New Roman" w:hAnsi="Calibri" w:cs="Calibri"/>
                <w:color w:val="000000"/>
                <w:kern w:val="0"/>
                <w:sz w:val="22"/>
                <w:szCs w:val="22"/>
                <w:lang w:eastAsia="en-GB"/>
                <w14:ligatures w14:val="none"/>
              </w:rPr>
              <w:t xml:space="preserve"> class</w:t>
            </w:r>
            <w:r w:rsidR="00F50DDF">
              <w:rPr>
                <w:rFonts w:ascii="Calibri" w:eastAsia="Times New Roman" w:hAnsi="Calibri" w:cs="Calibri"/>
                <w:color w:val="000000"/>
                <w:kern w:val="0"/>
                <w:sz w:val="22"/>
                <w:szCs w:val="22"/>
                <w:lang w:eastAsia="en-GB"/>
                <w14:ligatures w14:val="none"/>
              </w:rPr>
              <w:t xml:space="preserve"> level,</w:t>
            </w:r>
            <w:r w:rsidRPr="00C012F1">
              <w:rPr>
                <w:rFonts w:ascii="Calibri" w:eastAsia="Times New Roman" w:hAnsi="Calibri" w:cs="Calibri"/>
                <w:color w:val="000000"/>
                <w:kern w:val="0"/>
                <w:sz w:val="22"/>
                <w:szCs w:val="22"/>
                <w:lang w:eastAsia="en-GB"/>
                <w14:ligatures w14:val="none"/>
              </w:rPr>
              <w:t xml:space="preserve"> and by</w:t>
            </w:r>
            <w:r w:rsidR="00F50DDF">
              <w:rPr>
                <w:rFonts w:ascii="Calibri" w:eastAsia="Times New Roman" w:hAnsi="Calibri" w:cs="Calibri"/>
                <w:color w:val="000000"/>
                <w:kern w:val="0"/>
                <w:sz w:val="22"/>
                <w:szCs w:val="22"/>
                <w:lang w:eastAsia="en-GB"/>
                <w14:ligatures w14:val="none"/>
              </w:rPr>
              <w:t xml:space="preserve"> area of</w:t>
            </w:r>
            <w:r w:rsidRPr="00C012F1">
              <w:rPr>
                <w:rFonts w:ascii="Calibri" w:eastAsia="Times New Roman" w:hAnsi="Calibri" w:cs="Calibri"/>
                <w:color w:val="000000"/>
                <w:kern w:val="0"/>
                <w:sz w:val="22"/>
                <w:szCs w:val="22"/>
                <w:lang w:eastAsia="en-GB"/>
                <w14:ligatures w14:val="none"/>
              </w:rPr>
              <w:t xml:space="preserve"> need</w:t>
            </w:r>
            <w:r w:rsidR="00F50DDF">
              <w:rPr>
                <w:rFonts w:ascii="Calibri" w:eastAsia="Times New Roman" w:hAnsi="Calibri" w:cs="Calibri"/>
                <w:color w:val="000000"/>
                <w:kern w:val="0"/>
                <w:sz w:val="22"/>
                <w:szCs w:val="22"/>
                <w:lang w:eastAsia="en-GB"/>
                <w14:ligatures w14:val="none"/>
              </w:rPr>
              <w:t xml:space="preserve">, </w:t>
            </w:r>
            <w:r w:rsidRPr="00C012F1">
              <w:rPr>
                <w:rFonts w:ascii="Calibri" w:eastAsia="Times New Roman" w:hAnsi="Calibri" w:cs="Calibri"/>
                <w:color w:val="000000"/>
                <w:kern w:val="0"/>
                <w:sz w:val="22"/>
                <w:szCs w:val="22"/>
                <w:lang w:eastAsia="en-GB"/>
                <w14:ligatures w14:val="none"/>
              </w:rPr>
              <w:t>so that it informs actions by teachers and the SENDCO at individual and strategic levels.</w:t>
            </w:r>
          </w:p>
        </w:tc>
      </w:tr>
      <w:tr w:rsidR="00C012F1" w:rsidRPr="00C012F1" w14:paraId="037458B6"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10681182" w14:textId="4C23D124"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Attendance and absence for pupils with SEND are reviewed termly so that patterns can be identified and acted on at a whole school level.</w:t>
            </w:r>
          </w:p>
        </w:tc>
      </w:tr>
      <w:tr w:rsidR="00C012F1" w:rsidRPr="00C012F1" w14:paraId="282FE594"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217BDF3D"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SEND and reasonable adjustments are considered and evidenced by the school as part of their behaviour and relationships policy when considering suspension.</w:t>
            </w:r>
          </w:p>
        </w:tc>
      </w:tr>
      <w:tr w:rsidR="00C012F1" w:rsidRPr="00C012F1" w14:paraId="6A96F1E4"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50871E01"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A review of provision outlined in a pupil's Pupil Profile is always included at reintegration meetings or meetings with parents about behaviours causing concern. </w:t>
            </w:r>
          </w:p>
        </w:tc>
      </w:tr>
      <w:tr w:rsidR="00C012F1" w:rsidRPr="00C012F1" w14:paraId="65F836A5"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3BCA9663"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 </w:t>
            </w:r>
          </w:p>
        </w:tc>
      </w:tr>
      <w:tr w:rsidR="00C012F1" w:rsidRPr="00C012F1" w14:paraId="26A868B7"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7E553A3E"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Working with learners and families</w:t>
            </w:r>
          </w:p>
        </w:tc>
      </w:tr>
      <w:tr w:rsidR="00C012F1" w:rsidRPr="00C012F1" w14:paraId="3945BB4A"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25C608A0"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Parents are involved and their views </w:t>
            </w:r>
            <w:proofErr w:type="gramStart"/>
            <w:r w:rsidRPr="00C012F1">
              <w:rPr>
                <w:rFonts w:ascii="Calibri" w:eastAsia="Times New Roman" w:hAnsi="Calibri" w:cs="Calibri"/>
                <w:color w:val="000000"/>
                <w:kern w:val="0"/>
                <w:sz w:val="22"/>
                <w:szCs w:val="22"/>
                <w:lang w:eastAsia="en-GB"/>
                <w14:ligatures w14:val="none"/>
              </w:rPr>
              <w:t>taken into account</w:t>
            </w:r>
            <w:proofErr w:type="gramEnd"/>
            <w:r w:rsidRPr="00C012F1">
              <w:rPr>
                <w:rFonts w:ascii="Calibri" w:eastAsia="Times New Roman" w:hAnsi="Calibri" w:cs="Calibri"/>
                <w:color w:val="000000"/>
                <w:kern w:val="0"/>
                <w:sz w:val="22"/>
                <w:szCs w:val="22"/>
                <w:lang w:eastAsia="en-GB"/>
                <w14:ligatures w14:val="none"/>
              </w:rPr>
              <w:t xml:space="preserve"> at every stage of the assess, plan, do, review cycle.</w:t>
            </w:r>
          </w:p>
        </w:tc>
      </w:tr>
      <w:tr w:rsidR="00C012F1" w:rsidRPr="00C012F1" w14:paraId="7929C3CA"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432EE591"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Parents of pupils with SEND are positive about their and their child's experience at the school as evidenced in parent views shared at termly SEND Reviews, annual SEND survey.</w:t>
            </w:r>
          </w:p>
        </w:tc>
      </w:tr>
      <w:tr w:rsidR="00C012F1" w:rsidRPr="00C012F1" w14:paraId="579B921A"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52490D99"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lastRenderedPageBreak/>
              <w:t xml:space="preserve">A working group ensures the SEN Information Report is reflective of parent input and ideas to aid access and understanding. </w:t>
            </w:r>
          </w:p>
        </w:tc>
      </w:tr>
      <w:tr w:rsidR="00C012F1" w:rsidRPr="00C012F1" w14:paraId="0239BBDF"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0640E264" w14:textId="56617538"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Engagement and attendance of pupils with SEND in school activities, trips, clubs, council is recorded, and steps are pro-actively taken to increase and support this. </w:t>
            </w:r>
          </w:p>
        </w:tc>
      </w:tr>
      <w:tr w:rsidR="00C012F1" w:rsidRPr="00C012F1" w14:paraId="36BA25F5"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7BE90D8F"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w:t>
            </w:r>
          </w:p>
        </w:tc>
      </w:tr>
      <w:tr w:rsidR="00C012F1" w:rsidRPr="00C012F1" w14:paraId="5509EF8A"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1E4EEDEA"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Effective use of teaching assistants</w:t>
            </w:r>
          </w:p>
        </w:tc>
      </w:tr>
      <w:tr w:rsidR="00C012F1" w:rsidRPr="00C012F1" w14:paraId="5EE5AEE2"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7937708C"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TAs feel more equipped to support in the classroom because they have time allocated to meet with the teacher. </w:t>
            </w:r>
          </w:p>
        </w:tc>
      </w:tr>
      <w:tr w:rsidR="00C012F1" w:rsidRPr="00C012F1" w14:paraId="506F849A"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2C72F00A" w14:textId="1C8E19D4"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TAs are skilled in delivering evidence-based interventions that accelerate the progress of pupils with SEND.</w:t>
            </w:r>
          </w:p>
        </w:tc>
      </w:tr>
      <w:tr w:rsidR="00C012F1" w:rsidRPr="00C012F1" w14:paraId="444BEEFC"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613EE109"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TAs feel valued and supported in their role.</w:t>
            </w:r>
          </w:p>
        </w:tc>
      </w:tr>
      <w:tr w:rsidR="00C012F1" w:rsidRPr="00C012F1" w14:paraId="407C8A80"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301C15C9"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TAs access CPD that develops their knowledge, skill and confidence in their role. </w:t>
            </w:r>
          </w:p>
        </w:tc>
      </w:tr>
      <w:tr w:rsidR="00C012F1" w:rsidRPr="00C012F1" w14:paraId="3E01FB06"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04DA191C"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TA deployment is strategically planned to be of greatest benefit to both individual learners with SEND and all learners with SEND.</w:t>
            </w:r>
          </w:p>
        </w:tc>
      </w:tr>
      <w:tr w:rsidR="00C012F1" w:rsidRPr="00C012F1" w14:paraId="62A8F8A9"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6D07E354" w14:textId="77777777"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w:t>
            </w:r>
          </w:p>
        </w:tc>
      </w:tr>
      <w:tr w:rsidR="00C012F1" w:rsidRPr="00C012F1" w14:paraId="64B4AECE"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07586203"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Provision Mapping</w:t>
            </w:r>
          </w:p>
        </w:tc>
      </w:tr>
      <w:tr w:rsidR="00C012F1" w:rsidRPr="00C012F1" w14:paraId="43E9C3A2"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02A30B00"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Interventions delivered by TAs are effectively assessed and tracked so that progress and impact is measured and reported on.</w:t>
            </w:r>
          </w:p>
        </w:tc>
      </w:tr>
      <w:tr w:rsidR="00C012F1" w:rsidRPr="00C012F1" w14:paraId="611890A0"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7A030660" w14:textId="13521920"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There </w:t>
            </w:r>
            <w:r w:rsidR="00F50DDF" w:rsidRPr="00C012F1">
              <w:rPr>
                <w:rFonts w:ascii="Calibri" w:eastAsia="Times New Roman" w:hAnsi="Calibri" w:cs="Calibri"/>
                <w:color w:val="000000"/>
                <w:kern w:val="0"/>
                <w:sz w:val="22"/>
                <w:szCs w:val="22"/>
                <w:lang w:eastAsia="en-GB"/>
                <w14:ligatures w14:val="none"/>
              </w:rPr>
              <w:t xml:space="preserve">is </w:t>
            </w:r>
            <w:r w:rsidR="00F50DDF">
              <w:rPr>
                <w:rFonts w:ascii="Calibri" w:eastAsia="Times New Roman" w:hAnsi="Calibri" w:cs="Calibri"/>
                <w:color w:val="000000"/>
                <w:kern w:val="0"/>
                <w:sz w:val="22"/>
                <w:szCs w:val="22"/>
                <w:lang w:eastAsia="en-GB"/>
                <w14:ligatures w14:val="none"/>
              </w:rPr>
              <w:t>a</w:t>
            </w:r>
            <w:r w:rsidR="00EC3E3C">
              <w:rPr>
                <w:rFonts w:ascii="Calibri" w:eastAsia="Times New Roman" w:hAnsi="Calibri" w:cs="Calibri"/>
                <w:color w:val="000000"/>
                <w:kern w:val="0"/>
                <w:sz w:val="22"/>
                <w:szCs w:val="22"/>
                <w:lang w:eastAsia="en-GB"/>
                <w14:ligatures w14:val="none"/>
              </w:rPr>
              <w:t xml:space="preserve"> </w:t>
            </w:r>
            <w:r w:rsidRPr="00C012F1">
              <w:rPr>
                <w:rFonts w:ascii="Calibri" w:eastAsia="Times New Roman" w:hAnsi="Calibri" w:cs="Calibri"/>
                <w:color w:val="000000"/>
                <w:kern w:val="0"/>
                <w:sz w:val="22"/>
                <w:szCs w:val="22"/>
                <w:lang w:eastAsia="en-GB"/>
                <w14:ligatures w14:val="none"/>
              </w:rPr>
              <w:t>robust whole school system to record and monitor progress in interventions.</w:t>
            </w:r>
          </w:p>
        </w:tc>
      </w:tr>
      <w:tr w:rsidR="00C012F1" w:rsidRPr="00C012F1" w14:paraId="41829E1B"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06713ECB" w14:textId="50D9BEEB"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 xml:space="preserve">A good range of interventions are up and running that meet identified needs in school. These </w:t>
            </w:r>
            <w:r w:rsidR="00EC3E3C">
              <w:rPr>
                <w:rFonts w:ascii="Calibri" w:eastAsia="Times New Roman" w:hAnsi="Calibri" w:cs="Calibri"/>
                <w:color w:val="000000"/>
                <w:kern w:val="0"/>
                <w:sz w:val="22"/>
                <w:szCs w:val="22"/>
                <w:lang w:eastAsia="en-GB"/>
                <w14:ligatures w14:val="none"/>
              </w:rPr>
              <w:t xml:space="preserve">are </w:t>
            </w:r>
            <w:r w:rsidRPr="00C012F1">
              <w:rPr>
                <w:rFonts w:ascii="Calibri" w:eastAsia="Times New Roman" w:hAnsi="Calibri" w:cs="Calibri"/>
                <w:color w:val="000000"/>
                <w:kern w:val="0"/>
                <w:sz w:val="22"/>
                <w:szCs w:val="22"/>
                <w:lang w:eastAsia="en-GB"/>
                <w14:ligatures w14:val="none"/>
              </w:rPr>
              <w:t xml:space="preserve">evidence-based interventions that improve progress for identified children. </w:t>
            </w:r>
          </w:p>
        </w:tc>
      </w:tr>
      <w:tr w:rsidR="00C012F1" w:rsidRPr="00C012F1" w14:paraId="2FC91004"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4AF839AA" w14:textId="28340A0F" w:rsidR="00C012F1" w:rsidRPr="00C012F1" w:rsidRDefault="00C012F1" w:rsidP="00C012F1">
            <w:pPr>
              <w:outlineLvl w:val="0"/>
              <w:rPr>
                <w:rFonts w:ascii="Calibri" w:eastAsia="Times New Roman" w:hAnsi="Calibri" w:cs="Calibri"/>
                <w:color w:val="000000"/>
                <w:kern w:val="0"/>
                <w:sz w:val="22"/>
                <w:szCs w:val="22"/>
                <w:lang w:eastAsia="en-GB"/>
                <w14:ligatures w14:val="none"/>
              </w:rPr>
            </w:pPr>
            <w:r w:rsidRPr="00C012F1">
              <w:rPr>
                <w:rFonts w:ascii="Calibri" w:eastAsia="Times New Roman" w:hAnsi="Calibri" w:cs="Calibri"/>
                <w:color w:val="000000"/>
                <w:kern w:val="0"/>
                <w:sz w:val="22"/>
                <w:szCs w:val="22"/>
                <w:lang w:eastAsia="en-GB"/>
                <w14:ligatures w14:val="none"/>
              </w:rPr>
              <w:t>Provision in interventions is ad</w:t>
            </w:r>
            <w:r>
              <w:rPr>
                <w:rFonts w:ascii="Calibri" w:eastAsia="Times New Roman" w:hAnsi="Calibri" w:cs="Calibri"/>
                <w:color w:val="000000"/>
                <w:kern w:val="0"/>
                <w:sz w:val="22"/>
                <w:szCs w:val="22"/>
                <w:lang w:eastAsia="en-GB"/>
                <w14:ligatures w14:val="none"/>
              </w:rPr>
              <w:t>a</w:t>
            </w:r>
            <w:r w:rsidRPr="00C012F1">
              <w:rPr>
                <w:rFonts w:ascii="Calibri" w:eastAsia="Times New Roman" w:hAnsi="Calibri" w:cs="Calibri"/>
                <w:color w:val="000000"/>
                <w:kern w:val="0"/>
                <w:sz w:val="22"/>
                <w:szCs w:val="22"/>
                <w:lang w:eastAsia="en-GB"/>
                <w14:ligatures w14:val="none"/>
              </w:rPr>
              <w:t xml:space="preserve">pted as necessary, and next steps planned </w:t>
            </w:r>
            <w:proofErr w:type="gramStart"/>
            <w:r w:rsidRPr="00C012F1">
              <w:rPr>
                <w:rFonts w:ascii="Calibri" w:eastAsia="Times New Roman" w:hAnsi="Calibri" w:cs="Calibri"/>
                <w:color w:val="000000"/>
                <w:kern w:val="0"/>
                <w:sz w:val="22"/>
                <w:szCs w:val="22"/>
                <w:lang w:eastAsia="en-GB"/>
                <w14:ligatures w14:val="none"/>
              </w:rPr>
              <w:t>in light of</w:t>
            </w:r>
            <w:proofErr w:type="gramEnd"/>
            <w:r w:rsidRPr="00C012F1">
              <w:rPr>
                <w:rFonts w:ascii="Calibri" w:eastAsia="Times New Roman" w:hAnsi="Calibri" w:cs="Calibri"/>
                <w:color w:val="000000"/>
                <w:kern w:val="0"/>
                <w:sz w:val="22"/>
                <w:szCs w:val="22"/>
                <w:lang w:eastAsia="en-GB"/>
                <w14:ligatures w14:val="none"/>
              </w:rPr>
              <w:t xml:space="preserve"> monitoring and progress data as part of the assess, plan, do, review cycle.</w:t>
            </w:r>
          </w:p>
        </w:tc>
      </w:tr>
      <w:tr w:rsidR="00C012F1" w:rsidRPr="00C012F1" w14:paraId="5267352D"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4F783A73"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Provision mapping data contributes to an effective graduated approach and forms part of termly SEND reviews.</w:t>
            </w:r>
          </w:p>
        </w:tc>
      </w:tr>
      <w:tr w:rsidR="00C012F1" w:rsidRPr="00C012F1" w14:paraId="4DBD2C23"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5C6FF2A9"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 </w:t>
            </w:r>
          </w:p>
        </w:tc>
      </w:tr>
      <w:tr w:rsidR="00C012F1" w:rsidRPr="00C012F1" w14:paraId="29F47E7B" w14:textId="77777777" w:rsidTr="00C012F1">
        <w:trPr>
          <w:trHeight w:val="288"/>
          <w:jc w:val="center"/>
        </w:trPr>
        <w:tc>
          <w:tcPr>
            <w:tcW w:w="6340" w:type="dxa"/>
            <w:tcBorders>
              <w:top w:val="nil"/>
              <w:left w:val="single" w:sz="4" w:space="0" w:color="auto"/>
              <w:bottom w:val="single" w:sz="4" w:space="0" w:color="auto"/>
              <w:right w:val="single" w:sz="4" w:space="0" w:color="auto"/>
            </w:tcBorders>
            <w:vAlign w:val="bottom"/>
            <w:hideMark/>
          </w:tcPr>
          <w:p w14:paraId="6D532662" w14:textId="77777777" w:rsidR="00C012F1" w:rsidRPr="00C012F1" w:rsidRDefault="00C012F1" w:rsidP="00C012F1">
            <w:pPr>
              <w:outlineLvl w:val="0"/>
              <w:rPr>
                <w:rFonts w:ascii="Calibri" w:eastAsia="Times New Roman" w:hAnsi="Calibri" w:cs="Calibri"/>
                <w:b/>
                <w:bCs/>
                <w:color w:val="50B948"/>
                <w:kern w:val="0"/>
                <w:sz w:val="22"/>
                <w:szCs w:val="22"/>
                <w:lang w:eastAsia="en-GB"/>
                <w14:ligatures w14:val="none"/>
              </w:rPr>
            </w:pPr>
            <w:r w:rsidRPr="00C012F1">
              <w:rPr>
                <w:rFonts w:ascii="Calibri" w:eastAsia="Times New Roman" w:hAnsi="Calibri" w:cs="Calibri"/>
                <w:b/>
                <w:bCs/>
                <w:color w:val="50B948"/>
                <w:kern w:val="0"/>
                <w:sz w:val="22"/>
                <w:szCs w:val="22"/>
                <w:lang w:eastAsia="en-GB"/>
                <w14:ligatures w14:val="none"/>
              </w:rPr>
              <w:t>Identification</w:t>
            </w:r>
          </w:p>
        </w:tc>
      </w:tr>
      <w:tr w:rsidR="00C012F1" w:rsidRPr="00C012F1" w14:paraId="0AD822A3"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23A4F859" w14:textId="270895FF"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 xml:space="preserve">There is </w:t>
            </w:r>
            <w:r w:rsidR="00EC3E3C">
              <w:rPr>
                <w:rFonts w:ascii="Calibri" w:eastAsia="Times New Roman" w:hAnsi="Calibri" w:cs="Calibri"/>
                <w:kern w:val="0"/>
                <w:sz w:val="22"/>
                <w:szCs w:val="22"/>
                <w:lang w:eastAsia="en-GB"/>
                <w14:ligatures w14:val="none"/>
              </w:rPr>
              <w:t xml:space="preserve">a </w:t>
            </w:r>
            <w:r w:rsidRPr="00C012F1">
              <w:rPr>
                <w:rFonts w:ascii="Calibri" w:eastAsia="Times New Roman" w:hAnsi="Calibri" w:cs="Calibri"/>
                <w:kern w:val="0"/>
                <w:sz w:val="22"/>
                <w:szCs w:val="22"/>
                <w:lang w:eastAsia="en-GB"/>
                <w14:ligatures w14:val="none"/>
              </w:rPr>
              <w:t>robust whole school system to raise concerns about whether pupils may have SEND and everyone is clear about their role within it.</w:t>
            </w:r>
          </w:p>
        </w:tc>
      </w:tr>
      <w:tr w:rsidR="00C012F1" w:rsidRPr="00C012F1" w14:paraId="6BF47832"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20B57273"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 xml:space="preserve">The SEND Indicators Tool is used systematically to support the identification of SEND in the school and this leads to accurate and timely identification. </w:t>
            </w:r>
          </w:p>
        </w:tc>
      </w:tr>
      <w:tr w:rsidR="00C012F1" w:rsidRPr="00C012F1" w14:paraId="42AB72D4"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1CB40EE0"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 xml:space="preserve">The SEND Indicators Tool and Ordinarily Available SEND Provision document support teachers to reflect on the effectiveness of classroom teaching as part of the identification process. </w:t>
            </w:r>
          </w:p>
        </w:tc>
      </w:tr>
      <w:tr w:rsidR="00C012F1" w:rsidRPr="00C012F1" w14:paraId="131C310E" w14:textId="77777777" w:rsidTr="00C012F1">
        <w:trPr>
          <w:trHeight w:val="576"/>
          <w:jc w:val="center"/>
        </w:trPr>
        <w:tc>
          <w:tcPr>
            <w:tcW w:w="6340" w:type="dxa"/>
            <w:tcBorders>
              <w:top w:val="nil"/>
              <w:left w:val="single" w:sz="4" w:space="0" w:color="auto"/>
              <w:bottom w:val="single" w:sz="4" w:space="0" w:color="auto"/>
              <w:right w:val="single" w:sz="4" w:space="0" w:color="auto"/>
            </w:tcBorders>
            <w:vAlign w:val="bottom"/>
            <w:hideMark/>
          </w:tcPr>
          <w:p w14:paraId="4661057C"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A greater range of specific data is gathered and used to support teachers and the SENDCO in the identification of SEND.</w:t>
            </w:r>
          </w:p>
        </w:tc>
      </w:tr>
      <w:tr w:rsidR="00C012F1" w:rsidRPr="00C012F1" w14:paraId="011466C2" w14:textId="77777777" w:rsidTr="00C012F1">
        <w:trPr>
          <w:trHeight w:val="864"/>
          <w:jc w:val="center"/>
        </w:trPr>
        <w:tc>
          <w:tcPr>
            <w:tcW w:w="6340" w:type="dxa"/>
            <w:tcBorders>
              <w:top w:val="nil"/>
              <w:left w:val="single" w:sz="4" w:space="0" w:color="auto"/>
              <w:bottom w:val="single" w:sz="4" w:space="0" w:color="auto"/>
              <w:right w:val="single" w:sz="4" w:space="0" w:color="auto"/>
            </w:tcBorders>
            <w:vAlign w:val="bottom"/>
            <w:hideMark/>
          </w:tcPr>
          <w:p w14:paraId="3B9292BE"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 xml:space="preserve">The school uses a range of data and information to ensure that underlying learning needs are identified as part of a robust plan to support behaviours. </w:t>
            </w:r>
          </w:p>
        </w:tc>
      </w:tr>
      <w:tr w:rsidR="00C012F1" w:rsidRPr="00C012F1" w14:paraId="2D9238F7" w14:textId="77777777" w:rsidTr="00C012F1">
        <w:trPr>
          <w:trHeight w:val="1152"/>
          <w:jc w:val="center"/>
        </w:trPr>
        <w:tc>
          <w:tcPr>
            <w:tcW w:w="6340" w:type="dxa"/>
            <w:tcBorders>
              <w:top w:val="nil"/>
              <w:left w:val="single" w:sz="4" w:space="0" w:color="auto"/>
              <w:bottom w:val="single" w:sz="4" w:space="0" w:color="auto"/>
              <w:right w:val="single" w:sz="4" w:space="0" w:color="auto"/>
            </w:tcBorders>
            <w:vAlign w:val="bottom"/>
            <w:hideMark/>
          </w:tcPr>
          <w:p w14:paraId="06B6CAE4" w14:textId="77777777" w:rsidR="00C012F1" w:rsidRPr="00C012F1" w:rsidRDefault="00C012F1" w:rsidP="00C012F1">
            <w:pPr>
              <w:outlineLvl w:val="0"/>
              <w:rPr>
                <w:rFonts w:ascii="Calibri" w:eastAsia="Times New Roman" w:hAnsi="Calibri" w:cs="Calibri"/>
                <w:kern w:val="0"/>
                <w:sz w:val="22"/>
                <w:szCs w:val="22"/>
                <w:lang w:eastAsia="en-GB"/>
                <w14:ligatures w14:val="none"/>
              </w:rPr>
            </w:pPr>
            <w:r w:rsidRPr="00C012F1">
              <w:rPr>
                <w:rFonts w:ascii="Calibri" w:eastAsia="Times New Roman" w:hAnsi="Calibri" w:cs="Calibri"/>
                <w:kern w:val="0"/>
                <w:sz w:val="22"/>
                <w:szCs w:val="22"/>
                <w:lang w:eastAsia="en-GB"/>
                <w14:ligatures w14:val="none"/>
              </w:rPr>
              <w:t xml:space="preserve">Pupils' needs are reviewed regularly as part of a graduated approach through SEND review meetings, data analysis etc., and thus the SEND register is up to date and an accurate reflection of the needs in the school. </w:t>
            </w:r>
          </w:p>
        </w:tc>
      </w:tr>
    </w:tbl>
    <w:p w14:paraId="210835BA" w14:textId="77777777" w:rsidR="00894521" w:rsidRPr="00504E43" w:rsidRDefault="00894521"/>
    <w:sectPr w:rsidR="00894521" w:rsidRPr="00504E43" w:rsidSect="00C012F1">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053"/>
    <w:multiLevelType w:val="hybridMultilevel"/>
    <w:tmpl w:val="838C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748A9"/>
    <w:multiLevelType w:val="hybridMultilevel"/>
    <w:tmpl w:val="5B1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499021">
    <w:abstractNumId w:val="1"/>
  </w:num>
  <w:num w:numId="2" w16cid:durableId="142425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4521"/>
    <w:rsid w:val="000B4310"/>
    <w:rsid w:val="003E27E8"/>
    <w:rsid w:val="004000D7"/>
    <w:rsid w:val="0045519C"/>
    <w:rsid w:val="00504E43"/>
    <w:rsid w:val="005278BD"/>
    <w:rsid w:val="00553562"/>
    <w:rsid w:val="006B7909"/>
    <w:rsid w:val="007333DA"/>
    <w:rsid w:val="00782EFE"/>
    <w:rsid w:val="007908F4"/>
    <w:rsid w:val="00794C17"/>
    <w:rsid w:val="008867A1"/>
    <w:rsid w:val="00894521"/>
    <w:rsid w:val="00BE2DEB"/>
    <w:rsid w:val="00C012F1"/>
    <w:rsid w:val="00EC3E3C"/>
    <w:rsid w:val="00F50DDF"/>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7E78"/>
  <w15:chartTrackingRefBased/>
  <w15:docId w15:val="{8D0C86FB-6FF4-45F9-BBC9-BAF2AB82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8945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45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452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452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452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945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45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45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45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5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45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452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452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9452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9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45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45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5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5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45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521"/>
    <w:rPr>
      <w:i/>
      <w:iCs/>
      <w:color w:val="404040" w:themeColor="text1" w:themeTint="BF"/>
    </w:rPr>
  </w:style>
  <w:style w:type="paragraph" w:styleId="ListParagraph">
    <w:name w:val="List Paragraph"/>
    <w:basedOn w:val="Normal"/>
    <w:uiPriority w:val="34"/>
    <w:qFormat/>
    <w:rsid w:val="00894521"/>
    <w:pPr>
      <w:ind w:left="720"/>
      <w:contextualSpacing/>
    </w:pPr>
  </w:style>
  <w:style w:type="character" w:styleId="IntenseEmphasis">
    <w:name w:val="Intense Emphasis"/>
    <w:basedOn w:val="DefaultParagraphFont"/>
    <w:uiPriority w:val="21"/>
    <w:qFormat/>
    <w:rsid w:val="00894521"/>
    <w:rPr>
      <w:i/>
      <w:iCs/>
      <w:color w:val="365F91" w:themeColor="accent1" w:themeShade="BF"/>
    </w:rPr>
  </w:style>
  <w:style w:type="paragraph" w:styleId="IntenseQuote">
    <w:name w:val="Intense Quote"/>
    <w:basedOn w:val="Normal"/>
    <w:next w:val="Normal"/>
    <w:link w:val="IntenseQuoteChar"/>
    <w:uiPriority w:val="30"/>
    <w:qFormat/>
    <w:rsid w:val="008945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521"/>
    <w:rPr>
      <w:i/>
      <w:iCs/>
      <w:color w:val="365F91" w:themeColor="accent1" w:themeShade="BF"/>
    </w:rPr>
  </w:style>
  <w:style w:type="character" w:styleId="IntenseReference">
    <w:name w:val="Intense Reference"/>
    <w:basedOn w:val="DefaultParagraphFont"/>
    <w:uiPriority w:val="32"/>
    <w:qFormat/>
    <w:rsid w:val="00894521"/>
    <w:rPr>
      <w:b/>
      <w:bCs/>
      <w:smallCaps/>
      <w:color w:val="365F91" w:themeColor="accent1" w:themeShade="BF"/>
      <w:spacing w:val="5"/>
    </w:rPr>
  </w:style>
  <w:style w:type="table" w:styleId="TableGrid">
    <w:name w:val="Table Grid"/>
    <w:basedOn w:val="TableNormal"/>
    <w:uiPriority w:val="39"/>
    <w:rsid w:val="00894521"/>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21" ma:contentTypeDescription="Create a new document." ma:contentTypeScope="" ma:versionID="380a5f6cc9879b95c35be359c453c13f">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0fb13eca6814a528b9ee277fc14b2d0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element ref="ns2:_ApprovalAssignedTo" minOccurs="0"/>
                <xsd:element ref="ns2:_ApprovalRespondedBy" minOccurs="0"/>
                <xsd:element ref="ns2:_ApprovalSentBy" minOccurs="0"/>
                <xsd:element ref="ns2:_ApprovalStatus" minOccurs="0"/>
                <xsd:element ref="ns2:Additio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Additionalnotes" ma:index="28" nillable="true" ma:displayName="Additional notes" ma:format="Dropdown" ma:internalName="Additional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865fc1-392f-46e8-b362-2bb3c96f81d9}" ma:internalName="TaxCatchAll" ma:showField="CatchAllData" ma:web="4b400a8d-7922-4e68-84d3-34da06b0a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cb1e6-b65f-4d90-9943-1c56339656f9">
      <Terms xmlns="http://schemas.microsoft.com/office/infopath/2007/PartnerControls"/>
    </lcf76f155ced4ddcb4097134ff3c332f>
    <Additionalnotes xmlns="bd5cb1e6-b65f-4d90-9943-1c56339656f9" xsi:nil="true"/>
    <TaxCatchAll xmlns="4b400a8d-7922-4e68-84d3-34da06b0a9f1" xsi:nil="true"/>
    <_ApprovalAssignedTo xmlns="bd5cb1e6-b65f-4d90-9943-1c56339656f9">
      <UserInfo>
        <DisplayName/>
        <AccountId xsi:nil="true"/>
        <AccountType/>
      </UserInfo>
    </_ApprovalAssignedTo>
    <_ApprovalRespondedBy xmlns="bd5cb1e6-b65f-4d90-9943-1c56339656f9">
      <UserInfo>
        <DisplayName/>
        <AccountId xsi:nil="true"/>
        <AccountType/>
      </UserInfo>
    </_ApprovalRespondedBy>
    <_ApprovalStatus xmlns="bd5cb1e6-b65f-4d90-9943-1c56339656f9">0</_ApprovalStatus>
    <_ApprovalSentBy xmlns="bd5cb1e6-b65f-4d90-9943-1c56339656f9">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60B60-2BF4-4B34-A308-ED4C832D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AFA33-CAD2-432D-945B-D6769C31F6C6}">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4b400a8d-7922-4e68-84d3-34da06b0a9f1"/>
    <ds:schemaRef ds:uri="bd5cb1e6-b65f-4d90-9943-1c56339656f9"/>
    <ds:schemaRef ds:uri="http://www.w3.org/XML/1998/namespace"/>
  </ds:schemaRefs>
</ds:datastoreItem>
</file>

<file path=customXml/itemProps3.xml><?xml version="1.0" encoding="utf-8"?>
<ds:datastoreItem xmlns:ds="http://schemas.openxmlformats.org/officeDocument/2006/customXml" ds:itemID="{9CB90B95-8349-43BA-9964-DFF14EDA9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794</Words>
  <Characters>4070</Characters>
  <Application>Microsoft Office Word</Application>
  <DocSecurity>0</DocSecurity>
  <Lines>127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Elvidge, Jane - Oxfordshire County Council</dc:creator>
  <cp:keywords/>
  <dc:description/>
  <cp:lastModifiedBy>Elvidge, Jane - Oxfordshire County Council</cp:lastModifiedBy>
  <cp:revision>3</cp:revision>
  <dcterms:created xsi:type="dcterms:W3CDTF">2025-12-16T17:37:00Z</dcterms:created>
  <dcterms:modified xsi:type="dcterms:W3CDTF">2026-01-12T15:28:00Z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y fmtid="{D5CDD505-2E9C-101B-9397-08002B2CF9AE}" pid="3" name="MediaServiceImageTags">
    <vt:lpwstr/>
  </property>
  <property fmtid="{D5CDD505-2E9C-101B-9397-08002B2CF9AE}" pid="4" name="docLang">
    <vt:lpwstr>en</vt:lpwstr>
  </property>
</Properties>
</file>