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74A6" w14:textId="70EC5C08" w:rsidR="00990516" w:rsidRDefault="00466CA5" w:rsidP="002A35D2">
      <w:pPr>
        <w:jc w:val="center"/>
        <w:rPr>
          <w:rFonts w:ascii="Arial" w:hAnsi="Arial" w:cs="Arial"/>
          <w:b/>
        </w:rPr>
      </w:pPr>
      <w:r>
        <w:rPr>
          <w:noProof/>
        </w:rPr>
        <w:drawing>
          <wp:inline distT="0" distB="0" distL="0" distR="0" wp14:anchorId="36939598" wp14:editId="56DEB744">
            <wp:extent cx="2159635" cy="463550"/>
            <wp:effectExtent l="0" t="0" r="0" b="0"/>
            <wp:docPr id="4" name="Picture 1" descr="A black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463550"/>
                    </a:xfrm>
                    <a:prstGeom prst="rect">
                      <a:avLst/>
                    </a:prstGeom>
                  </pic:spPr>
                </pic:pic>
              </a:graphicData>
            </a:graphic>
          </wp:inline>
        </w:drawing>
      </w:r>
    </w:p>
    <w:p w14:paraId="5265E051" w14:textId="77777777" w:rsidR="00C6170E" w:rsidRDefault="00C6170E" w:rsidP="002A35D2">
      <w:pPr>
        <w:jc w:val="center"/>
        <w:rPr>
          <w:rFonts w:ascii="Arial" w:hAnsi="Arial" w:cs="Arial"/>
          <w:b/>
        </w:rPr>
      </w:pPr>
    </w:p>
    <w:p w14:paraId="025279BD" w14:textId="77777777" w:rsidR="00466CA5" w:rsidRDefault="00466CA5" w:rsidP="002A35D2">
      <w:pPr>
        <w:jc w:val="center"/>
        <w:rPr>
          <w:rFonts w:ascii="Arial" w:hAnsi="Arial" w:cs="Arial"/>
          <w:b/>
        </w:rPr>
      </w:pPr>
    </w:p>
    <w:p w14:paraId="295B5F5D" w14:textId="77777777" w:rsidR="00C6170E" w:rsidRDefault="00C6170E" w:rsidP="002A35D2">
      <w:pPr>
        <w:jc w:val="center"/>
        <w:rPr>
          <w:rFonts w:ascii="Arial" w:hAnsi="Arial" w:cs="Arial"/>
          <w:b/>
        </w:rPr>
      </w:pPr>
      <w:r>
        <w:rPr>
          <w:rFonts w:ascii="Arial" w:hAnsi="Arial" w:cs="Arial"/>
          <w:b/>
        </w:rPr>
        <w:t>SCHOOL PROPERTY MAINTENANCE</w:t>
      </w:r>
    </w:p>
    <w:p w14:paraId="316647C1" w14:textId="77777777" w:rsidR="00C6170E" w:rsidRDefault="00C6170E" w:rsidP="002A35D2">
      <w:pPr>
        <w:jc w:val="center"/>
        <w:rPr>
          <w:rFonts w:ascii="Arial" w:hAnsi="Arial" w:cs="Arial"/>
          <w:b/>
        </w:rPr>
      </w:pPr>
    </w:p>
    <w:p w14:paraId="3BDB9034" w14:textId="27C3E3FC" w:rsidR="00C6170E" w:rsidRDefault="00466CA5" w:rsidP="002A35D2">
      <w:pPr>
        <w:jc w:val="center"/>
        <w:rPr>
          <w:rFonts w:ascii="Arial" w:hAnsi="Arial" w:cs="Arial"/>
          <w:b/>
        </w:rPr>
      </w:pPr>
      <w:r>
        <w:rPr>
          <w:rFonts w:ascii="Arial" w:hAnsi="Arial" w:cs="Arial"/>
          <w:b/>
        </w:rPr>
        <w:t>Maintained Schools</w:t>
      </w:r>
    </w:p>
    <w:p w14:paraId="7137F39A" w14:textId="77777777" w:rsidR="003A69B3" w:rsidRPr="00C6170E" w:rsidRDefault="003A69B3" w:rsidP="002A35D2">
      <w:pPr>
        <w:rPr>
          <w:rFonts w:ascii="Arial" w:hAnsi="Arial" w:cs="Arial"/>
        </w:rPr>
      </w:pPr>
    </w:p>
    <w:p w14:paraId="0A895D8D" w14:textId="77777777" w:rsidR="00C73A09" w:rsidRPr="00C6170E" w:rsidRDefault="00C73A09" w:rsidP="00CC4A0B">
      <w:pPr>
        <w:pStyle w:val="ListParagraph"/>
        <w:ind w:left="0"/>
        <w:rPr>
          <w:b/>
          <w:bCs/>
        </w:rPr>
      </w:pPr>
      <w:r w:rsidRPr="00C6170E">
        <w:rPr>
          <w:b/>
          <w:bCs/>
        </w:rPr>
        <w:t>Current position for repairs and maintenance for Primary, including Nursery and Special Maintained Schools</w:t>
      </w:r>
    </w:p>
    <w:p w14:paraId="52D68E6A" w14:textId="77777777" w:rsidR="00C73A09" w:rsidRPr="00C6170E" w:rsidRDefault="00C73A09" w:rsidP="00C73A09">
      <w:pPr>
        <w:rPr>
          <w:b/>
          <w:bCs/>
        </w:rPr>
      </w:pPr>
    </w:p>
    <w:p w14:paraId="0C224816" w14:textId="77777777" w:rsidR="00C73A09" w:rsidRPr="00C6170E" w:rsidRDefault="00C73A09" w:rsidP="00C73A09">
      <w:pPr>
        <w:rPr>
          <w:rFonts w:ascii="Arial" w:hAnsi="Arial" w:cs="Arial"/>
          <w:bCs/>
        </w:rPr>
      </w:pPr>
    </w:p>
    <w:p w14:paraId="1A3423B9" w14:textId="77777777" w:rsidR="00C73A09" w:rsidRPr="00C6170E" w:rsidRDefault="00C73A09" w:rsidP="00C73A09">
      <w:pPr>
        <w:rPr>
          <w:rFonts w:ascii="Arial" w:hAnsi="Arial" w:cs="Arial"/>
          <w:bCs/>
        </w:rPr>
      </w:pPr>
      <w:r w:rsidRPr="00C6170E">
        <w:rPr>
          <w:rFonts w:ascii="Arial" w:hAnsi="Arial" w:cs="Arial"/>
          <w:bCs/>
        </w:rPr>
        <w:t xml:space="preserve">From 1 April 2016 for Primary and Nursery Schools and from 1 April 2015 for Secondary Schools, the local authority has delegated all funding for repairs and maintenance to all schools. </w:t>
      </w:r>
    </w:p>
    <w:p w14:paraId="5D4B3EBB" w14:textId="77777777" w:rsidR="00C73A09" w:rsidRPr="00C6170E" w:rsidRDefault="00C73A09" w:rsidP="00C73A09">
      <w:pPr>
        <w:rPr>
          <w:rFonts w:ascii="Arial" w:hAnsi="Arial" w:cs="Arial"/>
          <w:bCs/>
        </w:rPr>
      </w:pPr>
    </w:p>
    <w:p w14:paraId="2AB27390" w14:textId="77777777" w:rsidR="00C73A09" w:rsidRPr="00C6170E" w:rsidRDefault="00C73A09" w:rsidP="00C73A09">
      <w:pPr>
        <w:rPr>
          <w:rFonts w:ascii="Arial" w:hAnsi="Arial" w:cs="Arial"/>
          <w:bCs/>
        </w:rPr>
      </w:pPr>
      <w:r w:rsidRPr="00C6170E">
        <w:rPr>
          <w:rFonts w:ascii="Arial" w:hAnsi="Arial" w:cs="Arial"/>
          <w:bCs/>
        </w:rPr>
        <w:t>This includes general building repairs and maintenance and statutory compliance work such as water hygiene risk assessment, fixed wire testing, annual lift inspection and servicing, LEV testing, testing and swimming pool water quality testing.  Fire risk assessment, pressure vessels, annual service and Zurich insurance thorough examination via OCC Insurance Team.</w:t>
      </w:r>
    </w:p>
    <w:p w14:paraId="1B0816CF" w14:textId="77777777" w:rsidR="00C73A09" w:rsidRPr="00C6170E" w:rsidRDefault="00C73A09" w:rsidP="00C73A09">
      <w:pPr>
        <w:rPr>
          <w:rFonts w:ascii="Arial" w:hAnsi="Arial" w:cs="Arial"/>
          <w:bCs/>
        </w:rPr>
      </w:pPr>
    </w:p>
    <w:p w14:paraId="205FBF38" w14:textId="77777777" w:rsidR="00C73A09" w:rsidRPr="00C6170E" w:rsidRDefault="00CC4A0B" w:rsidP="00C73A09">
      <w:pPr>
        <w:rPr>
          <w:rFonts w:ascii="Arial" w:hAnsi="Arial" w:cs="Arial"/>
          <w:bCs/>
        </w:rPr>
      </w:pPr>
      <w:r>
        <w:rPr>
          <w:rFonts w:ascii="Arial" w:hAnsi="Arial" w:cs="Arial"/>
          <w:bCs/>
        </w:rPr>
        <w:t xml:space="preserve">Schools should set aside funds each year to enable them to ensure that buildings are well maintained.  </w:t>
      </w:r>
      <w:r w:rsidR="00C73A09" w:rsidRPr="00C6170E">
        <w:rPr>
          <w:rFonts w:ascii="Arial" w:hAnsi="Arial" w:cs="Arial"/>
          <w:bCs/>
        </w:rPr>
        <w:t xml:space="preserve">For longer term and high-cost repair and maintenance works it is expected that schools would identify an earmarked reserve that they would contribute or top up each year from their revenue account. This reserve would be deployed against the schools’ priorities and long-term estate condition needs under the delegated Repair and maintenance responsibilities. </w:t>
      </w:r>
    </w:p>
    <w:p w14:paraId="14378DC8" w14:textId="77777777" w:rsidR="00C73A09" w:rsidRPr="00C6170E" w:rsidRDefault="00C73A09" w:rsidP="00C73A09">
      <w:pPr>
        <w:rPr>
          <w:rFonts w:ascii="Arial" w:hAnsi="Arial" w:cs="Arial"/>
          <w:bCs/>
        </w:rPr>
      </w:pPr>
    </w:p>
    <w:p w14:paraId="3246DB3E" w14:textId="77777777" w:rsidR="00C73A09" w:rsidRPr="00C6170E" w:rsidRDefault="00C73A09" w:rsidP="00C73A09"/>
    <w:p w14:paraId="6355AC18" w14:textId="77777777" w:rsidR="00C73A09" w:rsidRPr="00C6170E" w:rsidRDefault="00C73A09" w:rsidP="004D7FAA">
      <w:pPr>
        <w:pStyle w:val="ListParagraph"/>
        <w:ind w:left="0"/>
        <w:rPr>
          <w:b/>
          <w:bCs/>
        </w:rPr>
      </w:pPr>
      <w:r w:rsidRPr="00C6170E">
        <w:rPr>
          <w:b/>
          <w:bCs/>
        </w:rPr>
        <w:t>Sources of Capital Funding</w:t>
      </w:r>
    </w:p>
    <w:p w14:paraId="68B7F500" w14:textId="77777777" w:rsidR="00C73A09" w:rsidRPr="00C6170E" w:rsidRDefault="00C73A09" w:rsidP="00C73A09"/>
    <w:p w14:paraId="743EEA7F" w14:textId="77777777" w:rsidR="00C73A09" w:rsidRPr="00353008" w:rsidRDefault="00C73A09" w:rsidP="00C73A09">
      <w:pPr>
        <w:rPr>
          <w:rFonts w:ascii="Arial" w:hAnsi="Arial" w:cs="Arial"/>
          <w:b/>
          <w:bCs/>
          <w:i/>
          <w:iCs/>
        </w:rPr>
      </w:pPr>
      <w:r w:rsidRPr="00353008">
        <w:rPr>
          <w:rFonts w:ascii="Arial" w:hAnsi="Arial" w:cs="Arial"/>
          <w:b/>
          <w:bCs/>
          <w:i/>
          <w:iCs/>
        </w:rPr>
        <w:t>Devolved Formula Capital (DFC)</w:t>
      </w:r>
    </w:p>
    <w:p w14:paraId="2CB700C0" w14:textId="77777777" w:rsidR="00C73A09" w:rsidRPr="00C6170E" w:rsidRDefault="00C73A09" w:rsidP="00C73A09"/>
    <w:p w14:paraId="03A48DE9" w14:textId="77777777" w:rsidR="00C73A09" w:rsidRPr="00C6170E" w:rsidRDefault="00C73A09" w:rsidP="00C73A09">
      <w:pPr>
        <w:rPr>
          <w:rFonts w:ascii="Arial" w:hAnsi="Arial" w:cs="Arial"/>
          <w:bCs/>
        </w:rPr>
      </w:pPr>
      <w:r w:rsidRPr="00C6170E">
        <w:rPr>
          <w:rFonts w:ascii="Arial" w:hAnsi="Arial" w:cs="Arial"/>
          <w:bCs/>
        </w:rPr>
        <w:t xml:space="preserve">DFC’s primary purpose is to provide a source of capital funding for schools to address minor capital and condition issues.  It can be saved for up to three years.  </w:t>
      </w:r>
    </w:p>
    <w:p w14:paraId="5AE4D40C" w14:textId="77777777" w:rsidR="00C73A09" w:rsidRPr="00C6170E" w:rsidRDefault="00C73A09" w:rsidP="00C73A09">
      <w:pPr>
        <w:rPr>
          <w:rFonts w:ascii="Arial" w:hAnsi="Arial" w:cs="Arial"/>
          <w:bCs/>
        </w:rPr>
      </w:pPr>
    </w:p>
    <w:p w14:paraId="17A7B73D" w14:textId="77777777" w:rsidR="00C73A09" w:rsidRPr="00C6170E" w:rsidRDefault="00C73A09" w:rsidP="00C73A09">
      <w:pPr>
        <w:rPr>
          <w:rFonts w:ascii="Arial" w:hAnsi="Arial" w:cs="Arial"/>
          <w:bCs/>
        </w:rPr>
      </w:pPr>
      <w:r w:rsidRPr="00C6170E">
        <w:rPr>
          <w:rFonts w:ascii="Arial" w:hAnsi="Arial" w:cs="Arial"/>
          <w:bCs/>
        </w:rPr>
        <w:t>Once received by OCC from DfE, these monies are transferred to schools via SAP.</w:t>
      </w:r>
    </w:p>
    <w:p w14:paraId="182D61B3" w14:textId="77777777" w:rsidR="00C73A09" w:rsidRPr="00C6170E" w:rsidRDefault="00C73A09" w:rsidP="00C73A09">
      <w:pPr>
        <w:rPr>
          <w:rFonts w:ascii="Arial" w:hAnsi="Arial" w:cs="Arial"/>
          <w:bCs/>
        </w:rPr>
      </w:pPr>
    </w:p>
    <w:p w14:paraId="2009CEE5" w14:textId="77777777" w:rsidR="00C73A09" w:rsidRPr="00C6170E" w:rsidRDefault="00C73A09" w:rsidP="0054201D">
      <w:pPr>
        <w:rPr>
          <w:rFonts w:ascii="Arial" w:hAnsi="Arial" w:cs="Arial"/>
          <w:bCs/>
        </w:rPr>
      </w:pPr>
      <w:r w:rsidRPr="00C6170E">
        <w:rPr>
          <w:rFonts w:ascii="Arial" w:hAnsi="Arial" w:cs="Arial"/>
          <w:bCs/>
        </w:rPr>
        <w:t xml:space="preserve">Each school receives a fixed sum of £4,000 and a variable amount based on their weighted pupil numbers. </w:t>
      </w:r>
    </w:p>
    <w:p w14:paraId="3352E9E1" w14:textId="77777777" w:rsidR="00C73A09" w:rsidRPr="00C6170E" w:rsidRDefault="00C73A09" w:rsidP="00C73A09">
      <w:pPr>
        <w:rPr>
          <w:rFonts w:ascii="Arial" w:hAnsi="Arial" w:cs="Arial"/>
          <w:bCs/>
        </w:rPr>
      </w:pPr>
    </w:p>
    <w:p w14:paraId="0EE3298B" w14:textId="77777777" w:rsidR="00C73A09" w:rsidRPr="00C6170E" w:rsidRDefault="00C73A09" w:rsidP="00C73A09">
      <w:pPr>
        <w:rPr>
          <w:rFonts w:ascii="Arial" w:hAnsi="Arial" w:cs="Arial"/>
          <w:bCs/>
        </w:rPr>
      </w:pPr>
      <w:r w:rsidRPr="00C6170E">
        <w:rPr>
          <w:rFonts w:ascii="Arial" w:hAnsi="Arial" w:cs="Arial"/>
          <w:bCs/>
        </w:rPr>
        <w:t xml:space="preserve">Expenditure using DFC may include: Health and safety works, upgrading of fire and security systems, refurbishment, security – including the improvement to or provision of lighting, fencing and CCTV, energy efficiency and conservation projects, ICT equipment including interactive whiteboards </w:t>
      </w:r>
    </w:p>
    <w:p w14:paraId="3BBD73F1" w14:textId="77777777" w:rsidR="00C73A09" w:rsidRPr="00C6170E" w:rsidRDefault="00C73A09" w:rsidP="00C73A09">
      <w:pPr>
        <w:rPr>
          <w:rFonts w:ascii="Arial" w:hAnsi="Arial" w:cs="Arial"/>
          <w:bCs/>
        </w:rPr>
      </w:pPr>
    </w:p>
    <w:p w14:paraId="6E15B219" w14:textId="77777777" w:rsidR="00C73A09" w:rsidRPr="00C6170E" w:rsidRDefault="00C73A09" w:rsidP="00C73A09">
      <w:pPr>
        <w:rPr>
          <w:rFonts w:ascii="Arial" w:hAnsi="Arial" w:cs="Arial"/>
          <w:bCs/>
        </w:rPr>
      </w:pPr>
      <w:r w:rsidRPr="00C6170E">
        <w:rPr>
          <w:rFonts w:ascii="Arial" w:hAnsi="Arial" w:cs="Arial"/>
          <w:bCs/>
        </w:rPr>
        <w:lastRenderedPageBreak/>
        <w:t>It cannot be spent on: Redecoration, general repair and maintenance (included in delegated schools</w:t>
      </w:r>
      <w:r w:rsidR="00AC4991">
        <w:rPr>
          <w:rFonts w:ascii="Arial" w:hAnsi="Arial" w:cs="Arial"/>
          <w:bCs/>
        </w:rPr>
        <w:t>’</w:t>
      </w:r>
      <w:r w:rsidRPr="00C6170E">
        <w:rPr>
          <w:rFonts w:ascii="Arial" w:hAnsi="Arial" w:cs="Arial"/>
          <w:bCs/>
        </w:rPr>
        <w:t xml:space="preserve"> budgets), the purchase of books and training materials, lease/rental arrangements.</w:t>
      </w:r>
    </w:p>
    <w:p w14:paraId="515E6935" w14:textId="77777777" w:rsidR="00C73A09" w:rsidRPr="00C6170E" w:rsidRDefault="00C73A09" w:rsidP="00C73A09">
      <w:pPr>
        <w:rPr>
          <w:rFonts w:ascii="Arial" w:hAnsi="Arial" w:cs="Arial"/>
          <w:bCs/>
        </w:rPr>
      </w:pPr>
    </w:p>
    <w:p w14:paraId="2DF70779" w14:textId="77777777" w:rsidR="00C73A09" w:rsidRPr="00C6170E" w:rsidRDefault="00C73A09" w:rsidP="00C73A09">
      <w:pPr>
        <w:rPr>
          <w:rFonts w:ascii="Arial" w:hAnsi="Arial" w:cs="Arial"/>
          <w:bCs/>
        </w:rPr>
      </w:pPr>
      <w:r w:rsidRPr="00C6170E">
        <w:rPr>
          <w:rFonts w:ascii="Arial" w:hAnsi="Arial" w:cs="Arial"/>
          <w:bCs/>
        </w:rPr>
        <w:t>Additionally, it cannot be used for expenditure on small value capital items that fall below the local authority’s de minimis level for schools of £2,000.</w:t>
      </w:r>
    </w:p>
    <w:p w14:paraId="78E6720A" w14:textId="77777777" w:rsidR="00C73A09" w:rsidRPr="00C6170E" w:rsidRDefault="00C73A09" w:rsidP="00C73A09">
      <w:pPr>
        <w:rPr>
          <w:rFonts w:ascii="Arial" w:hAnsi="Arial" w:cs="Arial"/>
          <w:bCs/>
        </w:rPr>
      </w:pPr>
    </w:p>
    <w:p w14:paraId="3BB1D59B" w14:textId="77777777" w:rsidR="00C6170E" w:rsidRPr="00F8375B" w:rsidRDefault="00C73A09" w:rsidP="00F8375B">
      <w:pPr>
        <w:rPr>
          <w:rFonts w:ascii="Arial" w:hAnsi="Arial" w:cs="Arial"/>
          <w:bCs/>
        </w:rPr>
      </w:pPr>
      <w:r w:rsidRPr="00C6170E">
        <w:rPr>
          <w:rFonts w:ascii="Arial" w:hAnsi="Arial" w:cs="Arial"/>
          <w:bCs/>
        </w:rPr>
        <w:t xml:space="preserve">Maintained schools should complete the Self-financed and Building Improvement (SFA) form for all </w:t>
      </w:r>
      <w:r w:rsidR="00636270" w:rsidRPr="00C6170E">
        <w:rPr>
          <w:rFonts w:ascii="Arial" w:hAnsi="Arial" w:cs="Arial"/>
          <w:bCs/>
        </w:rPr>
        <w:t>projects</w:t>
      </w:r>
      <w:r w:rsidRPr="00C6170E">
        <w:rPr>
          <w:rFonts w:ascii="Arial" w:hAnsi="Arial" w:cs="Arial"/>
          <w:bCs/>
        </w:rPr>
        <w:t xml:space="preserve"> using DFC</w:t>
      </w:r>
      <w:r w:rsidR="0054201D">
        <w:rPr>
          <w:rFonts w:ascii="Arial" w:hAnsi="Arial" w:cs="Arial"/>
          <w:bCs/>
        </w:rPr>
        <w:t xml:space="preserve">. </w:t>
      </w:r>
      <w:r w:rsidR="004E123C" w:rsidRPr="00F8375B">
        <w:rPr>
          <w:rFonts w:ascii="Arial" w:hAnsi="Arial" w:cs="Arial"/>
          <w:bCs/>
        </w:rPr>
        <w:t>VA schools should consult their Board of Education for the appropriate process.</w:t>
      </w:r>
    </w:p>
    <w:p w14:paraId="305C6B69" w14:textId="77777777" w:rsidR="004E123C" w:rsidRPr="00C6170E" w:rsidRDefault="004E123C" w:rsidP="00C73A09">
      <w:pPr>
        <w:pStyle w:val="Default"/>
        <w:rPr>
          <w:bCs/>
          <w:color w:val="auto"/>
          <w:lang w:eastAsia="en-US"/>
        </w:rPr>
      </w:pPr>
    </w:p>
    <w:p w14:paraId="64915549" w14:textId="77777777" w:rsidR="00C73A09" w:rsidRPr="00C6170E" w:rsidRDefault="00C73A09" w:rsidP="00C73A09">
      <w:pPr>
        <w:pStyle w:val="Default"/>
        <w:rPr>
          <w:bCs/>
          <w:color w:val="auto"/>
          <w:lang w:eastAsia="en-US"/>
        </w:rPr>
      </w:pPr>
    </w:p>
    <w:p w14:paraId="3681CFED" w14:textId="77777777" w:rsidR="00C73A09" w:rsidRPr="00C6170E" w:rsidRDefault="00C73A09" w:rsidP="00C73A09">
      <w:pPr>
        <w:pStyle w:val="Default"/>
        <w:rPr>
          <w:b/>
          <w:i/>
          <w:iCs/>
          <w:color w:val="auto"/>
          <w:lang w:eastAsia="en-US"/>
        </w:rPr>
      </w:pPr>
      <w:r w:rsidRPr="00C6170E">
        <w:rPr>
          <w:b/>
          <w:i/>
          <w:iCs/>
          <w:color w:val="auto"/>
          <w:lang w:eastAsia="en-US"/>
        </w:rPr>
        <w:t>School Condition Allocation (SCA)</w:t>
      </w:r>
    </w:p>
    <w:p w14:paraId="2D127AFC" w14:textId="77777777" w:rsidR="00C73A09" w:rsidRPr="00C6170E" w:rsidRDefault="00C73A09" w:rsidP="00C73A09">
      <w:pPr>
        <w:pStyle w:val="Default"/>
        <w:rPr>
          <w:bCs/>
          <w:color w:val="auto"/>
          <w:lang w:eastAsia="en-US"/>
        </w:rPr>
      </w:pPr>
    </w:p>
    <w:p w14:paraId="3904DEC1" w14:textId="77777777" w:rsidR="00C73A09" w:rsidRPr="00C6170E" w:rsidRDefault="00C73A09" w:rsidP="00C73A09">
      <w:pPr>
        <w:pStyle w:val="Default"/>
        <w:rPr>
          <w:bCs/>
          <w:color w:val="auto"/>
          <w:lang w:eastAsia="en-US"/>
        </w:rPr>
      </w:pPr>
      <w:r w:rsidRPr="00C6170E">
        <w:rPr>
          <w:bCs/>
          <w:color w:val="auto"/>
          <w:lang w:eastAsia="en-US"/>
        </w:rPr>
        <w:t>The Department for Education allocates funding to the council each year to help maintain and improve the condition of maintained school buildings and grounds.</w:t>
      </w:r>
    </w:p>
    <w:p w14:paraId="0AE2575A" w14:textId="77777777" w:rsidR="00C73A09" w:rsidRPr="00C6170E" w:rsidRDefault="00C73A09" w:rsidP="00C73A09">
      <w:pPr>
        <w:pStyle w:val="Default"/>
        <w:rPr>
          <w:bCs/>
          <w:color w:val="auto"/>
          <w:lang w:eastAsia="en-US"/>
        </w:rPr>
      </w:pPr>
    </w:p>
    <w:p w14:paraId="283DC4E1" w14:textId="77777777" w:rsidR="00C73A09" w:rsidRPr="00C6170E" w:rsidRDefault="00C73A09" w:rsidP="00C73A09">
      <w:pPr>
        <w:pStyle w:val="Default"/>
        <w:rPr>
          <w:bCs/>
          <w:color w:val="auto"/>
          <w:lang w:eastAsia="en-US"/>
        </w:rPr>
      </w:pPr>
      <w:r w:rsidRPr="00C6170E">
        <w:rPr>
          <w:bCs/>
          <w:color w:val="auto"/>
          <w:lang w:eastAsia="en-US"/>
        </w:rPr>
        <w:t xml:space="preserve">SCA investment is be prioritised on keeping school buildings safe and in good working order by tackling poor building condition, building compliance, energy efficiency, and health and safety issues.  </w:t>
      </w:r>
    </w:p>
    <w:p w14:paraId="64B6B385" w14:textId="77777777" w:rsidR="00C73A09" w:rsidRPr="00C6170E" w:rsidRDefault="00C73A09" w:rsidP="00C73A09">
      <w:pPr>
        <w:pStyle w:val="Default"/>
        <w:rPr>
          <w:bCs/>
          <w:color w:val="auto"/>
          <w:lang w:eastAsia="en-US"/>
        </w:rPr>
      </w:pPr>
    </w:p>
    <w:p w14:paraId="5011CF9B" w14:textId="77777777" w:rsidR="00C73A09" w:rsidRPr="00C6170E" w:rsidRDefault="00C73A09" w:rsidP="00C73A09">
      <w:pPr>
        <w:pStyle w:val="Default"/>
        <w:rPr>
          <w:bCs/>
          <w:color w:val="auto"/>
          <w:lang w:eastAsia="en-US"/>
        </w:rPr>
      </w:pPr>
      <w:r w:rsidRPr="00C6170E">
        <w:rPr>
          <w:bCs/>
          <w:color w:val="auto"/>
          <w:lang w:eastAsia="en-US"/>
        </w:rPr>
        <w:t>For maintained schools, this is delivered by OCC Minor Works team as the Schools Structural Maintenance Programme (SSMP).</w:t>
      </w:r>
    </w:p>
    <w:p w14:paraId="5656426D" w14:textId="77777777" w:rsidR="00C73A09" w:rsidRPr="00C6170E" w:rsidRDefault="00C73A09" w:rsidP="00C73A09">
      <w:pPr>
        <w:pStyle w:val="Default"/>
        <w:rPr>
          <w:bCs/>
          <w:color w:val="auto"/>
          <w:lang w:eastAsia="en-US"/>
        </w:rPr>
      </w:pPr>
    </w:p>
    <w:p w14:paraId="463F36A0" w14:textId="77777777" w:rsidR="00C73A09" w:rsidRPr="00C6170E" w:rsidRDefault="00C73A09" w:rsidP="00C73A09">
      <w:pPr>
        <w:pStyle w:val="Default"/>
        <w:rPr>
          <w:bCs/>
          <w:color w:val="auto"/>
          <w:lang w:eastAsia="en-US"/>
        </w:rPr>
      </w:pPr>
      <w:r w:rsidRPr="00C6170E">
        <w:rPr>
          <w:bCs/>
          <w:color w:val="auto"/>
          <w:lang w:eastAsia="en-US"/>
        </w:rPr>
        <w:t xml:space="preserve">SSMP monies are to cover major structural issues, large wholesale flat and pitched roofing replacement, boiler and heating system replacements. </w:t>
      </w:r>
    </w:p>
    <w:p w14:paraId="021F689A" w14:textId="77777777" w:rsidR="00C73A09" w:rsidRPr="00C6170E" w:rsidRDefault="00C73A09" w:rsidP="00C73A09">
      <w:pPr>
        <w:pStyle w:val="Default"/>
        <w:rPr>
          <w:bCs/>
          <w:color w:val="auto"/>
          <w:lang w:eastAsia="en-US"/>
        </w:rPr>
      </w:pPr>
    </w:p>
    <w:p w14:paraId="09FC9292" w14:textId="77777777" w:rsidR="00C73A09" w:rsidRPr="00C6170E" w:rsidRDefault="00C73A09" w:rsidP="00C73A09">
      <w:pPr>
        <w:pStyle w:val="Default"/>
        <w:rPr>
          <w:bCs/>
          <w:color w:val="auto"/>
          <w:lang w:eastAsia="en-US"/>
        </w:rPr>
      </w:pPr>
      <w:r w:rsidRPr="00C6170E">
        <w:rPr>
          <w:bCs/>
          <w:color w:val="auto"/>
          <w:lang w:eastAsia="en-US"/>
        </w:rPr>
        <w:t xml:space="preserve">These projects are prioritised on a condition/urgency basis using relevant surveys, the most recent of which were undertaken by Ridge on behalf of OCC through 2022/23.  </w:t>
      </w:r>
    </w:p>
    <w:p w14:paraId="398FAE7A" w14:textId="77777777" w:rsidR="00C73A09" w:rsidRPr="00C6170E" w:rsidRDefault="00C73A09" w:rsidP="00C73A09">
      <w:pPr>
        <w:pStyle w:val="Default"/>
        <w:rPr>
          <w:bCs/>
          <w:color w:val="auto"/>
          <w:lang w:eastAsia="en-US"/>
        </w:rPr>
      </w:pPr>
    </w:p>
    <w:p w14:paraId="58255B12" w14:textId="77777777" w:rsidR="00C73A09" w:rsidRPr="00C6170E" w:rsidRDefault="00C73A09" w:rsidP="00C73A09">
      <w:pPr>
        <w:pStyle w:val="Default"/>
        <w:rPr>
          <w:bCs/>
          <w:color w:val="auto"/>
          <w:lang w:eastAsia="en-US"/>
        </w:rPr>
      </w:pPr>
      <w:r w:rsidRPr="00C6170E">
        <w:rPr>
          <w:bCs/>
          <w:color w:val="auto"/>
          <w:lang w:eastAsia="en-US"/>
        </w:rPr>
        <w:t>SSMP should only be used for projects over £25k although typical project costs are much higher.</w:t>
      </w:r>
    </w:p>
    <w:p w14:paraId="2C23AD83" w14:textId="77777777" w:rsidR="00C73A09" w:rsidRPr="00C6170E" w:rsidRDefault="00C73A09" w:rsidP="00C73A09">
      <w:pPr>
        <w:pStyle w:val="Default"/>
        <w:rPr>
          <w:bCs/>
          <w:color w:val="auto"/>
          <w:lang w:eastAsia="en-US"/>
        </w:rPr>
      </w:pPr>
    </w:p>
    <w:p w14:paraId="6FC44A9C" w14:textId="77777777" w:rsidR="00C73A09" w:rsidRPr="00C6170E" w:rsidRDefault="00C73A09" w:rsidP="00C73A09">
      <w:pPr>
        <w:pStyle w:val="Default"/>
        <w:rPr>
          <w:bCs/>
          <w:color w:val="auto"/>
          <w:lang w:eastAsia="en-US"/>
        </w:rPr>
      </w:pPr>
      <w:r w:rsidRPr="00C6170E">
        <w:rPr>
          <w:bCs/>
          <w:color w:val="auto"/>
          <w:lang w:eastAsia="en-US"/>
        </w:rPr>
        <w:t>Oxfordshire County Council was allocated £4.3m SCA funding in 2024/5.</w:t>
      </w:r>
    </w:p>
    <w:p w14:paraId="586F4293" w14:textId="77777777" w:rsidR="00C73A09" w:rsidRPr="00C6170E" w:rsidRDefault="00C73A09" w:rsidP="00C73A09">
      <w:pPr>
        <w:pStyle w:val="Default"/>
        <w:rPr>
          <w:bCs/>
          <w:color w:val="auto"/>
          <w:lang w:eastAsia="en-US"/>
        </w:rPr>
      </w:pPr>
    </w:p>
    <w:p w14:paraId="3F59DDA4" w14:textId="77777777" w:rsidR="004E123C" w:rsidRDefault="004E123C" w:rsidP="004E123C">
      <w:pPr>
        <w:pStyle w:val="Default"/>
        <w:rPr>
          <w:bCs/>
          <w:color w:val="auto"/>
          <w:lang w:eastAsia="en-US"/>
        </w:rPr>
      </w:pPr>
      <w:r>
        <w:rPr>
          <w:bCs/>
          <w:color w:val="auto"/>
          <w:lang w:eastAsia="en-US"/>
        </w:rPr>
        <w:t>VA schools should consult their Board of Education for the appropriate process.</w:t>
      </w:r>
    </w:p>
    <w:p w14:paraId="7598A70E" w14:textId="77777777" w:rsidR="00C73A09" w:rsidRPr="00C6170E" w:rsidRDefault="00C73A09" w:rsidP="00C73A09">
      <w:pPr>
        <w:pStyle w:val="Default"/>
        <w:rPr>
          <w:bCs/>
          <w:color w:val="auto"/>
          <w:lang w:eastAsia="en-US"/>
        </w:rPr>
      </w:pPr>
    </w:p>
    <w:p w14:paraId="7C4DB30D" w14:textId="77777777" w:rsidR="00C73A09" w:rsidRPr="00C6170E" w:rsidRDefault="00C73A09" w:rsidP="00C73A09">
      <w:pPr>
        <w:pStyle w:val="Default"/>
        <w:rPr>
          <w:bCs/>
          <w:color w:val="auto"/>
          <w:lang w:eastAsia="en-US"/>
        </w:rPr>
      </w:pPr>
    </w:p>
    <w:p w14:paraId="4BDAFA60" w14:textId="77777777" w:rsidR="00C73A09" w:rsidRPr="00C6170E" w:rsidRDefault="00C73A09" w:rsidP="00C73A09">
      <w:pPr>
        <w:rPr>
          <w:rFonts w:ascii="Arial" w:hAnsi="Arial" w:cs="Arial"/>
          <w:b/>
          <w:i/>
          <w:iCs/>
        </w:rPr>
      </w:pPr>
      <w:r w:rsidRPr="00C6170E">
        <w:rPr>
          <w:rFonts w:ascii="Arial" w:hAnsi="Arial" w:cs="Arial"/>
          <w:b/>
          <w:i/>
          <w:iCs/>
        </w:rPr>
        <w:t>Loan Scheme for maintained schools</w:t>
      </w:r>
    </w:p>
    <w:p w14:paraId="2AC40A12" w14:textId="77777777" w:rsidR="00C73A09" w:rsidRPr="00C6170E" w:rsidRDefault="00C73A09" w:rsidP="00C73A09">
      <w:pPr>
        <w:rPr>
          <w:rFonts w:ascii="Arial" w:hAnsi="Arial" w:cs="Arial"/>
          <w:bCs/>
        </w:rPr>
      </w:pPr>
    </w:p>
    <w:p w14:paraId="3DC31C2C" w14:textId="77777777" w:rsidR="00C73A09" w:rsidRPr="00C6170E" w:rsidRDefault="00C73A09" w:rsidP="00C73A09">
      <w:pPr>
        <w:rPr>
          <w:rFonts w:ascii="Arial" w:hAnsi="Arial" w:cs="Arial"/>
          <w:bCs/>
        </w:rPr>
      </w:pPr>
      <w:r w:rsidRPr="00C6170E">
        <w:rPr>
          <w:rFonts w:ascii="Arial" w:hAnsi="Arial" w:cs="Arial"/>
          <w:bCs/>
        </w:rPr>
        <w:t xml:space="preserve">The Authority operates a loan scheme funded from the collective balances held by schools. All maintained schools are eligible to apply for a loan that can be for: </w:t>
      </w:r>
    </w:p>
    <w:p w14:paraId="011C9057" w14:textId="77777777" w:rsidR="00C73A09" w:rsidRPr="00C6170E" w:rsidRDefault="00C73A09" w:rsidP="00C73A09">
      <w:pPr>
        <w:rPr>
          <w:rFonts w:ascii="Arial" w:hAnsi="Arial" w:cs="Arial"/>
          <w:bCs/>
        </w:rPr>
      </w:pPr>
    </w:p>
    <w:p w14:paraId="3FDA109A" w14:textId="77777777" w:rsidR="00C73A09" w:rsidRPr="00C6170E" w:rsidRDefault="00C73A09" w:rsidP="00C73A09">
      <w:pPr>
        <w:rPr>
          <w:rFonts w:ascii="Arial" w:hAnsi="Arial" w:cs="Arial"/>
          <w:bCs/>
        </w:rPr>
      </w:pPr>
      <w:r w:rsidRPr="00C6170E">
        <w:rPr>
          <w:rFonts w:ascii="Arial" w:hAnsi="Arial" w:cs="Arial"/>
          <w:bCs/>
        </w:rPr>
        <w:t xml:space="preserve">1. Purchase or replacement of equipment </w:t>
      </w:r>
    </w:p>
    <w:p w14:paraId="2BBBCA3A" w14:textId="77777777" w:rsidR="00C73A09" w:rsidRPr="00C6170E" w:rsidRDefault="00C73A09" w:rsidP="00C73A09">
      <w:pPr>
        <w:rPr>
          <w:rFonts w:ascii="Arial" w:hAnsi="Arial" w:cs="Arial"/>
          <w:bCs/>
        </w:rPr>
      </w:pPr>
      <w:r w:rsidRPr="00C6170E">
        <w:rPr>
          <w:rFonts w:ascii="Arial" w:hAnsi="Arial" w:cs="Arial"/>
          <w:bCs/>
        </w:rPr>
        <w:t xml:space="preserve">2. Contribute funding toward premises projects </w:t>
      </w:r>
    </w:p>
    <w:p w14:paraId="5E49CFB0" w14:textId="77777777" w:rsidR="00C73A09" w:rsidRPr="00C6170E" w:rsidRDefault="00C73A09" w:rsidP="00C73A09">
      <w:pPr>
        <w:rPr>
          <w:rFonts w:ascii="Arial" w:hAnsi="Arial" w:cs="Arial"/>
          <w:bCs/>
        </w:rPr>
      </w:pPr>
      <w:r w:rsidRPr="00C6170E">
        <w:rPr>
          <w:rFonts w:ascii="Arial" w:hAnsi="Arial" w:cs="Arial"/>
          <w:bCs/>
        </w:rPr>
        <w:t xml:space="preserve">3. Repair and maintenance responsibilities </w:t>
      </w:r>
    </w:p>
    <w:p w14:paraId="50B16AC1" w14:textId="77777777" w:rsidR="00C73A09" w:rsidRPr="00C6170E" w:rsidRDefault="00C73A09" w:rsidP="00C73A09">
      <w:pPr>
        <w:rPr>
          <w:rFonts w:ascii="Arial" w:hAnsi="Arial" w:cs="Arial"/>
          <w:bCs/>
        </w:rPr>
      </w:pPr>
      <w:r w:rsidRPr="00C6170E">
        <w:rPr>
          <w:rFonts w:ascii="Arial" w:hAnsi="Arial" w:cs="Arial"/>
          <w:bCs/>
        </w:rPr>
        <w:t xml:space="preserve">4. Energy and environmental improvements </w:t>
      </w:r>
    </w:p>
    <w:p w14:paraId="41594375" w14:textId="77777777" w:rsidR="00C73A09" w:rsidRPr="00C6170E" w:rsidRDefault="00C73A09" w:rsidP="00C73A09">
      <w:pPr>
        <w:rPr>
          <w:rFonts w:ascii="Arial" w:hAnsi="Arial" w:cs="Arial"/>
          <w:bCs/>
        </w:rPr>
      </w:pPr>
    </w:p>
    <w:p w14:paraId="187DB513" w14:textId="77777777" w:rsidR="00C73A09" w:rsidRPr="00C6170E" w:rsidRDefault="00C73A09" w:rsidP="00C73A09">
      <w:pPr>
        <w:rPr>
          <w:rFonts w:ascii="Arial" w:hAnsi="Arial" w:cs="Arial"/>
          <w:bCs/>
        </w:rPr>
      </w:pPr>
      <w:r w:rsidRPr="00C6170E">
        <w:rPr>
          <w:rFonts w:ascii="Arial" w:hAnsi="Arial" w:cs="Arial"/>
          <w:bCs/>
        </w:rPr>
        <w:lastRenderedPageBreak/>
        <w:t xml:space="preserve">The maximum loan will be up to 5% of the schools’ budget share excluding earmarked grants, or 10% where the loan is in respect of property repairs and maintenance. Equipment loans will normally be for a maximum period of three years. Loans for funding property works and for historic deficits will be for a maximum period of five years. No school will be allowed to have simultaneously a licensed deficit and a loan. </w:t>
      </w:r>
    </w:p>
    <w:p w14:paraId="29985E04" w14:textId="77777777" w:rsidR="00C73A09" w:rsidRPr="00C6170E" w:rsidRDefault="00C73A09" w:rsidP="00C73A09">
      <w:pPr>
        <w:rPr>
          <w:rFonts w:ascii="Arial" w:hAnsi="Arial" w:cs="Arial"/>
          <w:bCs/>
        </w:rPr>
      </w:pPr>
    </w:p>
    <w:p w14:paraId="555B7733" w14:textId="77777777" w:rsidR="00C73A09" w:rsidRDefault="00C73A09" w:rsidP="00C73A09">
      <w:pPr>
        <w:rPr>
          <w:rFonts w:ascii="Arial" w:hAnsi="Arial" w:cs="Arial"/>
          <w:bCs/>
        </w:rPr>
      </w:pPr>
    </w:p>
    <w:p w14:paraId="5413D67F" w14:textId="77777777" w:rsidR="00846E7D" w:rsidRDefault="00846E7D" w:rsidP="00846E7D"/>
    <w:p w14:paraId="1818B3E9" w14:textId="61B230E7" w:rsidR="00846E7D" w:rsidRPr="00846E7D" w:rsidRDefault="00846E7D" w:rsidP="00846E7D">
      <w:pPr>
        <w:rPr>
          <w:rFonts w:ascii="Arial" w:hAnsi="Arial" w:cs="Arial"/>
          <w:b/>
        </w:rPr>
      </w:pPr>
      <w:r w:rsidRPr="00846E7D">
        <w:rPr>
          <w:rFonts w:ascii="Arial" w:hAnsi="Arial" w:cs="Arial"/>
          <w:b/>
        </w:rPr>
        <w:t>OCC support contacts</w:t>
      </w:r>
    </w:p>
    <w:p w14:paraId="06BAA918" w14:textId="77777777" w:rsidR="00846E7D" w:rsidRPr="00846E7D" w:rsidRDefault="00846E7D" w:rsidP="00846E7D">
      <w:pPr>
        <w:rPr>
          <w:rFonts w:ascii="Arial" w:hAnsi="Arial" w:cs="Arial"/>
          <w:b/>
        </w:rPr>
      </w:pPr>
    </w:p>
    <w:p w14:paraId="41F5C114" w14:textId="77777777" w:rsidR="00846E7D" w:rsidRPr="00846E7D" w:rsidRDefault="00846E7D" w:rsidP="00846E7D">
      <w:pPr>
        <w:numPr>
          <w:ilvl w:val="0"/>
          <w:numId w:val="3"/>
        </w:numPr>
        <w:rPr>
          <w:rFonts w:ascii="Arial" w:hAnsi="Arial" w:cs="Arial"/>
          <w:bCs/>
        </w:rPr>
      </w:pPr>
      <w:r w:rsidRPr="00846E7D">
        <w:rPr>
          <w:rFonts w:ascii="Arial" w:hAnsi="Arial" w:cs="Arial"/>
          <w:bCs/>
        </w:rPr>
        <w:t>For general property advice: </w:t>
      </w:r>
      <w:hyperlink r:id="rId8" w:history="1">
        <w:r w:rsidRPr="00846E7D">
          <w:rPr>
            <w:rFonts w:ascii="Arial" w:hAnsi="Arial" w:cs="Arial"/>
            <w:bCs/>
          </w:rPr>
          <w:t>FMservicedesk@oxfordshire.gov.uk</w:t>
        </w:r>
      </w:hyperlink>
    </w:p>
    <w:p w14:paraId="0BFD016C" w14:textId="77777777" w:rsidR="00846E7D" w:rsidRPr="00846E7D" w:rsidRDefault="00846E7D" w:rsidP="00846E7D">
      <w:pPr>
        <w:numPr>
          <w:ilvl w:val="0"/>
          <w:numId w:val="3"/>
        </w:numPr>
        <w:rPr>
          <w:rFonts w:ascii="Arial" w:hAnsi="Arial" w:cs="Arial"/>
          <w:bCs/>
        </w:rPr>
      </w:pPr>
      <w:r w:rsidRPr="00846E7D">
        <w:rPr>
          <w:rFonts w:ascii="Arial" w:hAnsi="Arial" w:cs="Arial"/>
          <w:bCs/>
        </w:rPr>
        <w:t>For advice on leases and ownership: </w:t>
      </w:r>
      <w:hyperlink r:id="rId9" w:history="1">
        <w:r w:rsidRPr="00846E7D">
          <w:rPr>
            <w:rFonts w:ascii="Arial" w:hAnsi="Arial" w:cs="Arial"/>
            <w:bCs/>
          </w:rPr>
          <w:t>estates.team@oxfordshire.gov.uk</w:t>
        </w:r>
      </w:hyperlink>
    </w:p>
    <w:p w14:paraId="042C47F5" w14:textId="77777777" w:rsidR="00846E7D" w:rsidRPr="00846E7D" w:rsidRDefault="00846E7D" w:rsidP="00846E7D">
      <w:pPr>
        <w:numPr>
          <w:ilvl w:val="0"/>
          <w:numId w:val="3"/>
        </w:numPr>
        <w:rPr>
          <w:rFonts w:ascii="Arial" w:hAnsi="Arial" w:cs="Arial"/>
          <w:bCs/>
        </w:rPr>
      </w:pPr>
      <w:r w:rsidRPr="00846E7D">
        <w:rPr>
          <w:rFonts w:ascii="Arial" w:hAnsi="Arial" w:cs="Arial"/>
          <w:bCs/>
        </w:rPr>
        <w:t>For self-finance approvals: </w:t>
      </w:r>
      <w:hyperlink r:id="rId10" w:history="1">
        <w:r w:rsidRPr="00846E7D">
          <w:rPr>
            <w:rFonts w:ascii="Arial" w:hAnsi="Arial" w:cs="Arial"/>
            <w:bCs/>
          </w:rPr>
          <w:t>nick.tomkins@oxfordshire.gov.uk</w:t>
        </w:r>
      </w:hyperlink>
    </w:p>
    <w:p w14:paraId="31D12C90" w14:textId="77777777" w:rsidR="00846E7D" w:rsidRPr="00846E7D" w:rsidRDefault="00846E7D" w:rsidP="00846E7D">
      <w:pPr>
        <w:numPr>
          <w:ilvl w:val="0"/>
          <w:numId w:val="3"/>
        </w:numPr>
        <w:rPr>
          <w:rFonts w:ascii="Arial" w:hAnsi="Arial" w:cs="Arial"/>
          <w:bCs/>
        </w:rPr>
      </w:pPr>
      <w:r w:rsidRPr="00846E7D">
        <w:rPr>
          <w:rFonts w:ascii="Arial" w:hAnsi="Arial" w:cs="Arial"/>
          <w:bCs/>
        </w:rPr>
        <w:t>For health and safety advice: </w:t>
      </w:r>
      <w:hyperlink r:id="rId11" w:history="1">
        <w:r w:rsidRPr="00846E7D">
          <w:rPr>
            <w:rFonts w:ascii="Arial" w:hAnsi="Arial" w:cs="Arial"/>
            <w:bCs/>
          </w:rPr>
          <w:t>healthandsafetyhelp@oxfordshire.gov.uk</w:t>
        </w:r>
      </w:hyperlink>
    </w:p>
    <w:p w14:paraId="40A770BF" w14:textId="77777777" w:rsidR="00846E7D" w:rsidRDefault="00846E7D" w:rsidP="00846E7D"/>
    <w:p w14:paraId="6B8DE0B4" w14:textId="77777777" w:rsidR="00846E7D" w:rsidRDefault="00846E7D" w:rsidP="00846E7D">
      <w:pPr>
        <w:rPr>
          <w:b/>
          <w:bCs/>
        </w:rPr>
      </w:pPr>
    </w:p>
    <w:p w14:paraId="3F0CBEA1" w14:textId="0A1D7E56" w:rsidR="00846E7D" w:rsidRDefault="00846E7D" w:rsidP="00846E7D">
      <w:pPr>
        <w:rPr>
          <w:rFonts w:ascii="Arial" w:hAnsi="Arial" w:cs="Arial"/>
          <w:b/>
        </w:rPr>
      </w:pPr>
      <w:r w:rsidRPr="00846E7D">
        <w:rPr>
          <w:rFonts w:ascii="Arial" w:hAnsi="Arial" w:cs="Arial"/>
          <w:b/>
        </w:rPr>
        <w:t>Education contact for property-related matters</w:t>
      </w:r>
    </w:p>
    <w:p w14:paraId="19FB7AC1" w14:textId="77777777" w:rsidR="00846E7D" w:rsidRPr="00846E7D" w:rsidRDefault="00846E7D" w:rsidP="00846E7D">
      <w:pPr>
        <w:rPr>
          <w:rFonts w:ascii="Arial" w:hAnsi="Arial" w:cs="Arial"/>
          <w:b/>
        </w:rPr>
      </w:pPr>
    </w:p>
    <w:p w14:paraId="66F9F6A9" w14:textId="77777777" w:rsidR="00846E7D" w:rsidRPr="00846E7D" w:rsidRDefault="00846E7D" w:rsidP="00846E7D">
      <w:pPr>
        <w:numPr>
          <w:ilvl w:val="0"/>
          <w:numId w:val="3"/>
        </w:numPr>
        <w:rPr>
          <w:rFonts w:ascii="Arial" w:hAnsi="Arial" w:cs="Arial"/>
          <w:bCs/>
        </w:rPr>
      </w:pPr>
      <w:r w:rsidRPr="00846E7D">
        <w:rPr>
          <w:rFonts w:ascii="Arial" w:hAnsi="Arial" w:cs="Arial"/>
          <w:bCs/>
        </w:rPr>
        <w:t>Jane Maharry: jane.maharry@oxfordshire.gov.uk</w:t>
      </w:r>
    </w:p>
    <w:p w14:paraId="4435F8D7" w14:textId="77777777" w:rsidR="00846E7D" w:rsidRPr="00C6170E" w:rsidRDefault="00846E7D" w:rsidP="00C73A09">
      <w:pPr>
        <w:rPr>
          <w:rFonts w:ascii="Arial" w:hAnsi="Arial" w:cs="Arial"/>
          <w:bCs/>
        </w:rPr>
      </w:pPr>
    </w:p>
    <w:p w14:paraId="30F8BEC3" w14:textId="77777777" w:rsidR="00140201" w:rsidRPr="00C6170E" w:rsidRDefault="00140201" w:rsidP="002A35D2">
      <w:pPr>
        <w:rPr>
          <w:rFonts w:ascii="Arial" w:hAnsi="Arial" w:cs="Arial"/>
        </w:rPr>
      </w:pPr>
    </w:p>
    <w:p w14:paraId="51BB1382" w14:textId="77777777" w:rsidR="0054201D" w:rsidRDefault="0054201D" w:rsidP="0054201D">
      <w:pPr>
        <w:rPr>
          <w:rFonts w:ascii="Arial" w:hAnsi="Arial" w:cs="Arial"/>
          <w:bCs/>
        </w:rPr>
      </w:pPr>
    </w:p>
    <w:p w14:paraId="10E845CF" w14:textId="77777777" w:rsidR="0054201D" w:rsidRPr="00C6170E" w:rsidRDefault="0054201D" w:rsidP="0054201D">
      <w:pPr>
        <w:rPr>
          <w:rFonts w:ascii="Arial" w:hAnsi="Arial" w:cs="Arial"/>
          <w:bCs/>
        </w:rPr>
      </w:pPr>
      <w:r w:rsidRPr="00C6170E">
        <w:rPr>
          <w:rFonts w:ascii="Arial" w:hAnsi="Arial" w:cs="Arial"/>
          <w:b/>
        </w:rPr>
        <w:t>DfE Guidance</w:t>
      </w:r>
    </w:p>
    <w:p w14:paraId="39CAD909" w14:textId="77777777" w:rsidR="0054201D" w:rsidRPr="00C6170E" w:rsidRDefault="0054201D" w:rsidP="0054201D">
      <w:pPr>
        <w:rPr>
          <w:rFonts w:ascii="Arial" w:hAnsi="Arial" w:cs="Arial"/>
          <w:bCs/>
        </w:rPr>
      </w:pPr>
    </w:p>
    <w:p w14:paraId="35F50902" w14:textId="77777777" w:rsidR="0054201D" w:rsidRPr="00C6170E" w:rsidRDefault="0054201D" w:rsidP="0054201D">
      <w:pPr>
        <w:rPr>
          <w:rFonts w:ascii="Arial" w:hAnsi="Arial" w:cs="Arial"/>
          <w:bCs/>
        </w:rPr>
      </w:pPr>
      <w:hyperlink r:id="rId12" w:history="1">
        <w:r w:rsidRPr="00C6170E">
          <w:rPr>
            <w:rFonts w:ascii="Arial" w:hAnsi="Arial" w:cs="Arial"/>
            <w:bCs/>
          </w:rPr>
          <w:t>Good estate management for schools - Guidance - GOV.UK (www.gov.uk)</w:t>
        </w:r>
      </w:hyperlink>
      <w:r w:rsidRPr="00C6170E">
        <w:rPr>
          <w:rFonts w:ascii="Arial" w:hAnsi="Arial" w:cs="Arial"/>
          <w:bCs/>
        </w:rPr>
        <w:t xml:space="preserve"> </w:t>
      </w:r>
    </w:p>
    <w:p w14:paraId="14676A4B" w14:textId="77777777" w:rsidR="00140201" w:rsidRDefault="00140201" w:rsidP="002A35D2">
      <w:pPr>
        <w:rPr>
          <w:rFonts w:ascii="Arial" w:hAnsi="Arial" w:cs="Arial"/>
        </w:rPr>
      </w:pPr>
    </w:p>
    <w:p w14:paraId="5E658D8B" w14:textId="77777777" w:rsidR="00140201" w:rsidRDefault="00140201" w:rsidP="002A35D2">
      <w:pPr>
        <w:rPr>
          <w:rFonts w:ascii="Arial" w:hAnsi="Arial" w:cs="Arial"/>
        </w:rPr>
      </w:pPr>
    </w:p>
    <w:sectPr w:rsidR="00140201" w:rsidSect="001E3A27">
      <w:pgSz w:w="11907" w:h="16840"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F93CF" w14:textId="77777777" w:rsidR="007A25CA" w:rsidRDefault="007A25CA">
      <w:r>
        <w:separator/>
      </w:r>
    </w:p>
  </w:endnote>
  <w:endnote w:type="continuationSeparator" w:id="0">
    <w:p w14:paraId="0844A161" w14:textId="77777777" w:rsidR="007A25CA" w:rsidRDefault="007A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D49FC" w14:textId="77777777" w:rsidR="007A25CA" w:rsidRDefault="007A25CA">
      <w:r>
        <w:separator/>
      </w:r>
    </w:p>
  </w:footnote>
  <w:footnote w:type="continuationSeparator" w:id="0">
    <w:p w14:paraId="52DF74B4" w14:textId="77777777" w:rsidR="007A25CA" w:rsidRDefault="007A2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C5072"/>
    <w:multiLevelType w:val="multilevel"/>
    <w:tmpl w:val="B69C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BA034B"/>
    <w:multiLevelType w:val="multilevel"/>
    <w:tmpl w:val="22DA53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DE37CC3"/>
    <w:multiLevelType w:val="multilevel"/>
    <w:tmpl w:val="0809001F"/>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EAA271C"/>
    <w:multiLevelType w:val="hybridMultilevel"/>
    <w:tmpl w:val="FFE0C960"/>
    <w:lvl w:ilvl="0" w:tplc="0B94B1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7042809">
    <w:abstractNumId w:val="3"/>
  </w:num>
  <w:num w:numId="2" w16cid:durableId="411511756">
    <w:abstractNumId w:val="2"/>
  </w:num>
  <w:num w:numId="3" w16cid:durableId="1754620409">
    <w:abstractNumId w:val="0"/>
  </w:num>
  <w:num w:numId="4" w16cid:durableId="1465079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30"/>
    <w:rsid w:val="00002736"/>
    <w:rsid w:val="000238D6"/>
    <w:rsid w:val="00027854"/>
    <w:rsid w:val="00036709"/>
    <w:rsid w:val="00044BD1"/>
    <w:rsid w:val="0004724F"/>
    <w:rsid w:val="0005290D"/>
    <w:rsid w:val="00071E64"/>
    <w:rsid w:val="00072FB4"/>
    <w:rsid w:val="0009725E"/>
    <w:rsid w:val="000E6530"/>
    <w:rsid w:val="00140201"/>
    <w:rsid w:val="00146BF9"/>
    <w:rsid w:val="001475A7"/>
    <w:rsid w:val="00166248"/>
    <w:rsid w:val="001770CC"/>
    <w:rsid w:val="00192E62"/>
    <w:rsid w:val="0019512D"/>
    <w:rsid w:val="001A6E41"/>
    <w:rsid w:val="001B3055"/>
    <w:rsid w:val="001B711E"/>
    <w:rsid w:val="001C307B"/>
    <w:rsid w:val="001E3A27"/>
    <w:rsid w:val="001F20D3"/>
    <w:rsid w:val="00200151"/>
    <w:rsid w:val="002214B1"/>
    <w:rsid w:val="00232E51"/>
    <w:rsid w:val="00243E8E"/>
    <w:rsid w:val="002954D1"/>
    <w:rsid w:val="002A35D2"/>
    <w:rsid w:val="002B46AC"/>
    <w:rsid w:val="002D2BB2"/>
    <w:rsid w:val="002E5DA2"/>
    <w:rsid w:val="002F47BB"/>
    <w:rsid w:val="002F734F"/>
    <w:rsid w:val="00307713"/>
    <w:rsid w:val="00313E2F"/>
    <w:rsid w:val="00321423"/>
    <w:rsid w:val="0032480C"/>
    <w:rsid w:val="00332292"/>
    <w:rsid w:val="00353008"/>
    <w:rsid w:val="003864F3"/>
    <w:rsid w:val="003953CF"/>
    <w:rsid w:val="003A69B3"/>
    <w:rsid w:val="003B61AD"/>
    <w:rsid w:val="003C3A29"/>
    <w:rsid w:val="003D7B9B"/>
    <w:rsid w:val="00451238"/>
    <w:rsid w:val="00464BD7"/>
    <w:rsid w:val="00466CA5"/>
    <w:rsid w:val="004B24AA"/>
    <w:rsid w:val="004B6107"/>
    <w:rsid w:val="004D0FCF"/>
    <w:rsid w:val="004D7FAA"/>
    <w:rsid w:val="004E123C"/>
    <w:rsid w:val="00521716"/>
    <w:rsid w:val="00531F7A"/>
    <w:rsid w:val="0053746A"/>
    <w:rsid w:val="0054201D"/>
    <w:rsid w:val="00573211"/>
    <w:rsid w:val="005906B1"/>
    <w:rsid w:val="005B3B0A"/>
    <w:rsid w:val="005B4275"/>
    <w:rsid w:val="005C0BBB"/>
    <w:rsid w:val="005D1493"/>
    <w:rsid w:val="005E4BFF"/>
    <w:rsid w:val="005F492F"/>
    <w:rsid w:val="0060107C"/>
    <w:rsid w:val="00617C62"/>
    <w:rsid w:val="00630AAB"/>
    <w:rsid w:val="00636270"/>
    <w:rsid w:val="00671812"/>
    <w:rsid w:val="006757B4"/>
    <w:rsid w:val="0068782A"/>
    <w:rsid w:val="00691B29"/>
    <w:rsid w:val="00692F55"/>
    <w:rsid w:val="006F7565"/>
    <w:rsid w:val="007005FD"/>
    <w:rsid w:val="00700D81"/>
    <w:rsid w:val="00700EAE"/>
    <w:rsid w:val="007012A0"/>
    <w:rsid w:val="00742833"/>
    <w:rsid w:val="00745AF7"/>
    <w:rsid w:val="0079349A"/>
    <w:rsid w:val="007A25CA"/>
    <w:rsid w:val="007B408E"/>
    <w:rsid w:val="007C27CD"/>
    <w:rsid w:val="007C4318"/>
    <w:rsid w:val="007E5CDD"/>
    <w:rsid w:val="007F4CC7"/>
    <w:rsid w:val="008310E5"/>
    <w:rsid w:val="00846E7D"/>
    <w:rsid w:val="008541CC"/>
    <w:rsid w:val="008C5643"/>
    <w:rsid w:val="008F71C0"/>
    <w:rsid w:val="00990516"/>
    <w:rsid w:val="009906CB"/>
    <w:rsid w:val="009B440F"/>
    <w:rsid w:val="009B7D32"/>
    <w:rsid w:val="009C12D9"/>
    <w:rsid w:val="009F06F0"/>
    <w:rsid w:val="00A049A8"/>
    <w:rsid w:val="00A069A8"/>
    <w:rsid w:val="00A14FAD"/>
    <w:rsid w:val="00A66385"/>
    <w:rsid w:val="00A81ACE"/>
    <w:rsid w:val="00A853EA"/>
    <w:rsid w:val="00AB5DFC"/>
    <w:rsid w:val="00AC4991"/>
    <w:rsid w:val="00AE0E38"/>
    <w:rsid w:val="00B231EE"/>
    <w:rsid w:val="00B32EFA"/>
    <w:rsid w:val="00B343DE"/>
    <w:rsid w:val="00B5731D"/>
    <w:rsid w:val="00B92E6D"/>
    <w:rsid w:val="00BA77ED"/>
    <w:rsid w:val="00BB353B"/>
    <w:rsid w:val="00BE50C1"/>
    <w:rsid w:val="00BF4906"/>
    <w:rsid w:val="00C01F88"/>
    <w:rsid w:val="00C31F1E"/>
    <w:rsid w:val="00C36E39"/>
    <w:rsid w:val="00C40096"/>
    <w:rsid w:val="00C427CC"/>
    <w:rsid w:val="00C551AE"/>
    <w:rsid w:val="00C6170E"/>
    <w:rsid w:val="00C73A09"/>
    <w:rsid w:val="00C87D98"/>
    <w:rsid w:val="00CC2C31"/>
    <w:rsid w:val="00CC387E"/>
    <w:rsid w:val="00CC4A0B"/>
    <w:rsid w:val="00CF4A0B"/>
    <w:rsid w:val="00CF6A39"/>
    <w:rsid w:val="00D25F9B"/>
    <w:rsid w:val="00D43A08"/>
    <w:rsid w:val="00D63AF6"/>
    <w:rsid w:val="00D77F06"/>
    <w:rsid w:val="00D854E2"/>
    <w:rsid w:val="00DB5A01"/>
    <w:rsid w:val="00E038F1"/>
    <w:rsid w:val="00E03F7A"/>
    <w:rsid w:val="00E10AF2"/>
    <w:rsid w:val="00E21EDC"/>
    <w:rsid w:val="00E675F4"/>
    <w:rsid w:val="00E732A2"/>
    <w:rsid w:val="00E76BEB"/>
    <w:rsid w:val="00E84A47"/>
    <w:rsid w:val="00E93A03"/>
    <w:rsid w:val="00EA3512"/>
    <w:rsid w:val="00EB33CB"/>
    <w:rsid w:val="00EC0093"/>
    <w:rsid w:val="00EF383D"/>
    <w:rsid w:val="00F1597C"/>
    <w:rsid w:val="00F15CD8"/>
    <w:rsid w:val="00F24A2E"/>
    <w:rsid w:val="00F72C8E"/>
    <w:rsid w:val="00F8375B"/>
    <w:rsid w:val="00F84DD0"/>
    <w:rsid w:val="00FD174C"/>
    <w:rsid w:val="00FE0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39DED"/>
  <w15:chartTrackingRefBased/>
  <w15:docId w15:val="{B040A5ED-A2FB-424C-AEBA-7A7AC40D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D2"/>
    <w:pPr>
      <w:tabs>
        <w:tab w:val="center" w:pos="4320"/>
        <w:tab w:val="right" w:pos="8640"/>
      </w:tabs>
    </w:pPr>
  </w:style>
  <w:style w:type="paragraph" w:styleId="Footer">
    <w:name w:val="footer"/>
    <w:basedOn w:val="Normal"/>
    <w:rsid w:val="002A35D2"/>
    <w:pPr>
      <w:tabs>
        <w:tab w:val="center" w:pos="4320"/>
        <w:tab w:val="right" w:pos="8640"/>
      </w:tabs>
    </w:pPr>
  </w:style>
  <w:style w:type="paragraph" w:styleId="BalloonText">
    <w:name w:val="Balloon Text"/>
    <w:basedOn w:val="Normal"/>
    <w:semiHidden/>
    <w:rsid w:val="004D0FCF"/>
    <w:rPr>
      <w:rFonts w:ascii="Tahoma" w:hAnsi="Tahoma" w:cs="Tahoma"/>
      <w:sz w:val="16"/>
      <w:szCs w:val="16"/>
    </w:rPr>
  </w:style>
  <w:style w:type="table" w:styleId="TableGrid">
    <w:name w:val="Table Grid"/>
    <w:basedOn w:val="TableNormal"/>
    <w:rsid w:val="00321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3A09"/>
    <w:pPr>
      <w:ind w:left="720"/>
      <w:contextualSpacing/>
    </w:pPr>
    <w:rPr>
      <w:rFonts w:ascii="Arial" w:eastAsia="Calibri" w:hAnsi="Arial" w:cs="Arial"/>
      <w:kern w:val="2"/>
    </w:rPr>
  </w:style>
  <w:style w:type="character" w:styleId="Hyperlink">
    <w:name w:val="Hyperlink"/>
    <w:uiPriority w:val="99"/>
    <w:unhideWhenUsed/>
    <w:rsid w:val="00C73A09"/>
    <w:rPr>
      <w:color w:val="0000FF"/>
      <w:u w:val="single"/>
    </w:rPr>
  </w:style>
  <w:style w:type="paragraph" w:customStyle="1" w:styleId="Default">
    <w:name w:val="Default"/>
    <w:rsid w:val="00C73A09"/>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C61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01746">
      <w:bodyDiv w:val="1"/>
      <w:marLeft w:val="0"/>
      <w:marRight w:val="0"/>
      <w:marTop w:val="0"/>
      <w:marBottom w:val="0"/>
      <w:divBdr>
        <w:top w:val="none" w:sz="0" w:space="0" w:color="auto"/>
        <w:left w:val="none" w:sz="0" w:space="0" w:color="auto"/>
        <w:bottom w:val="none" w:sz="0" w:space="0" w:color="auto"/>
        <w:right w:val="none" w:sz="0" w:space="0" w:color="auto"/>
      </w:divBdr>
    </w:div>
    <w:div w:id="14405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Mservicedesk@oxford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good-estate-management-for-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lthandsafetyhelp@oxfordshire.gov.uk" TargetMode="External"/><Relationship Id="rId5" Type="http://schemas.openxmlformats.org/officeDocument/2006/relationships/footnotes" Target="footnotes.xml"/><Relationship Id="rId10" Type="http://schemas.openxmlformats.org/officeDocument/2006/relationships/hyperlink" Target="mailto:nick.tomkins@oxfordshire.gov.uk" TargetMode="External"/><Relationship Id="rId4" Type="http://schemas.openxmlformats.org/officeDocument/2006/relationships/webSettings" Target="webSettings.xml"/><Relationship Id="rId9" Type="http://schemas.openxmlformats.org/officeDocument/2006/relationships/hyperlink" Target="mailto:estates.team@oxfordsh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5069</CharactersWithSpaces>
  <SharedDoc>false</SharedDoc>
  <HLinks>
    <vt:vector size="6" baseType="variant">
      <vt:variant>
        <vt:i4>6619179</vt:i4>
      </vt:variant>
      <vt:variant>
        <vt:i4>0</vt:i4>
      </vt:variant>
      <vt:variant>
        <vt:i4>0</vt:i4>
      </vt:variant>
      <vt:variant>
        <vt:i4>5</vt:i4>
      </vt:variant>
      <vt:variant>
        <vt:lpwstr>https://www.gov.uk/guidance/good-estate-management-for-schools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TraWe</dc:creator>
  <cp:keywords/>
  <cp:lastModifiedBy>Maharry, Jane - Oxfordshire County Council</cp:lastModifiedBy>
  <cp:revision>3</cp:revision>
  <cp:lastPrinted>2016-06-08T10:31:00Z</cp:lastPrinted>
  <dcterms:created xsi:type="dcterms:W3CDTF">2025-02-17T14:43:00Z</dcterms:created>
  <dcterms:modified xsi:type="dcterms:W3CDTF">2025-02-17T14:46:00Z</dcterms:modified>
</cp:coreProperties>
</file>